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C82"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B19E3F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26"/>
        <w:gridCol w:w="1106"/>
        <w:gridCol w:w="1208"/>
        <w:gridCol w:w="351"/>
        <w:gridCol w:w="1240"/>
      </w:tblGrid>
      <w:tr w:rsidR="000F4FD4" w:rsidRPr="00705AAD" w14:paraId="332720D7" w14:textId="77777777" w:rsidTr="007673F3">
        <w:tc>
          <w:tcPr>
            <w:tcW w:w="3205" w:type="dxa"/>
            <w:shd w:val="clear" w:color="auto" w:fill="DDD9C3" w:themeFill="background2" w:themeFillShade="E6"/>
          </w:tcPr>
          <w:p w14:paraId="1B4C35C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5B8F1F5" w14:textId="77777777" w:rsidR="000F4FD4" w:rsidRPr="004041EB" w:rsidRDefault="004041EB"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22361902" w14:textId="77777777" w:rsidTr="007673F3">
        <w:tc>
          <w:tcPr>
            <w:tcW w:w="3205" w:type="dxa"/>
            <w:shd w:val="clear" w:color="auto" w:fill="DDD9C3" w:themeFill="background2" w:themeFillShade="E6"/>
          </w:tcPr>
          <w:p w14:paraId="7F23B3F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7BBFF19" w14:textId="77777777" w:rsidR="000F4FD4" w:rsidRPr="004041EB" w:rsidRDefault="004041EB"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52A6C8B8" w14:textId="77777777" w:rsidTr="007673F3">
        <w:tc>
          <w:tcPr>
            <w:tcW w:w="3205" w:type="dxa"/>
            <w:shd w:val="clear" w:color="auto" w:fill="DDD9C3" w:themeFill="background2" w:themeFillShade="E6"/>
          </w:tcPr>
          <w:p w14:paraId="106A1AA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18E141F" w14:textId="77777777" w:rsidR="000F4FD4" w:rsidRPr="00705AAD" w:rsidRDefault="004041EB"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44A7460F" w14:textId="77777777" w:rsidTr="008E6AB4">
        <w:tc>
          <w:tcPr>
            <w:tcW w:w="3205" w:type="dxa"/>
            <w:shd w:val="clear" w:color="auto" w:fill="DDD9C3" w:themeFill="background2" w:themeFillShade="E6"/>
          </w:tcPr>
          <w:p w14:paraId="636F246A"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26" w:type="dxa"/>
          </w:tcPr>
          <w:p w14:paraId="39D4F417" w14:textId="77777777" w:rsidR="000F4FD4" w:rsidRPr="009F391A" w:rsidRDefault="00C3786D" w:rsidP="007673F3">
            <w:pPr>
              <w:rPr>
                <w:rFonts w:ascii="Calibri" w:hAnsi="Calibri" w:cs="Arial"/>
                <w:color w:val="002060"/>
                <w:sz w:val="20"/>
                <w:szCs w:val="20"/>
                <w:lang w:val="el-GR"/>
              </w:rPr>
            </w:pPr>
            <w:r w:rsidRPr="00914606">
              <w:rPr>
                <w:rFonts w:ascii="Calibri" w:hAnsi="Calibri" w:cs="Arial"/>
                <w:color w:val="002060"/>
                <w:sz w:val="20"/>
                <w:szCs w:val="20"/>
              </w:rPr>
              <w:t>ΣΑΑΣΦ04</w:t>
            </w:r>
            <w:r w:rsidR="009F391A">
              <w:rPr>
                <w:rFonts w:ascii="Calibri" w:hAnsi="Calibri" w:cs="Arial"/>
                <w:color w:val="002060"/>
                <w:sz w:val="20"/>
                <w:szCs w:val="20"/>
                <w:lang w:val="el-GR"/>
              </w:rPr>
              <w:t>-17</w:t>
            </w:r>
          </w:p>
        </w:tc>
        <w:tc>
          <w:tcPr>
            <w:tcW w:w="2314" w:type="dxa"/>
            <w:gridSpan w:val="2"/>
            <w:shd w:val="clear" w:color="auto" w:fill="DDD9C3" w:themeFill="background2" w:themeFillShade="E6"/>
          </w:tcPr>
          <w:p w14:paraId="39A4DA5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458259A" w14:textId="77777777" w:rsidR="000F4FD4" w:rsidRPr="00914606" w:rsidRDefault="004041EB" w:rsidP="007673F3">
            <w:pPr>
              <w:rPr>
                <w:rFonts w:ascii="Calibri" w:hAnsi="Calibri" w:cs="Arial"/>
                <w:sz w:val="20"/>
                <w:szCs w:val="20"/>
                <w:lang w:val="el-GR"/>
              </w:rPr>
            </w:pPr>
            <w:r w:rsidRPr="00914606">
              <w:rPr>
                <w:rFonts w:ascii="Calibri" w:hAnsi="Calibri" w:cs="Arial"/>
                <w:color w:val="002060"/>
                <w:sz w:val="20"/>
                <w:szCs w:val="20"/>
                <w:lang w:val="el-GR"/>
              </w:rPr>
              <w:t>5</w:t>
            </w:r>
            <w:r w:rsidRPr="00914606">
              <w:rPr>
                <w:rFonts w:ascii="Calibri" w:hAnsi="Calibri" w:cs="Arial"/>
                <w:color w:val="002060"/>
                <w:sz w:val="20"/>
                <w:szCs w:val="20"/>
                <w:vertAlign w:val="superscript"/>
                <w:lang w:val="el-GR"/>
              </w:rPr>
              <w:t>Ο</w:t>
            </w:r>
            <w:r w:rsidRPr="00914606">
              <w:rPr>
                <w:rFonts w:ascii="Calibri" w:hAnsi="Calibri" w:cs="Arial"/>
                <w:color w:val="002060"/>
                <w:sz w:val="20"/>
                <w:szCs w:val="20"/>
                <w:lang w:val="el-GR"/>
              </w:rPr>
              <w:t xml:space="preserve"> </w:t>
            </w:r>
          </w:p>
        </w:tc>
      </w:tr>
      <w:tr w:rsidR="000F4FD4" w:rsidRPr="00AB6161" w14:paraId="3ACABA9D" w14:textId="77777777" w:rsidTr="007673F3">
        <w:trPr>
          <w:trHeight w:val="375"/>
        </w:trPr>
        <w:tc>
          <w:tcPr>
            <w:tcW w:w="3205" w:type="dxa"/>
            <w:shd w:val="clear" w:color="auto" w:fill="DDD9C3" w:themeFill="background2" w:themeFillShade="E6"/>
            <w:vAlign w:val="center"/>
          </w:tcPr>
          <w:p w14:paraId="6037815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C6ADDC5" w14:textId="77777777" w:rsidR="000F4FD4" w:rsidRPr="009F391A" w:rsidRDefault="009F391A" w:rsidP="007673F3">
            <w:pPr>
              <w:rPr>
                <w:rFonts w:ascii="Calibri" w:hAnsi="Calibri" w:cs="Arial"/>
                <w:color w:val="002060"/>
                <w:sz w:val="20"/>
                <w:szCs w:val="20"/>
                <w:lang w:val="el-GR"/>
              </w:rPr>
            </w:pPr>
            <w:r w:rsidRPr="009F391A">
              <w:rPr>
                <w:rFonts w:ascii="Calibri" w:hAnsi="Calibri" w:cs="Arial"/>
                <w:color w:val="002060"/>
                <w:sz w:val="20"/>
                <w:szCs w:val="20"/>
                <w:lang w:val="el-GR"/>
              </w:rPr>
              <w:t>ΑΝΑΛΟΓΙΣΤΙΚΑ ΜΟΝΤΕΛΑ ΣΥΜΒΑΝΤΩΝ ΖΩΗΣ ΙΙ</w:t>
            </w:r>
          </w:p>
        </w:tc>
      </w:tr>
      <w:tr w:rsidR="000F4FD4" w:rsidRPr="00705AAD" w14:paraId="75361258" w14:textId="77777777" w:rsidTr="007673F3">
        <w:trPr>
          <w:trHeight w:val="196"/>
        </w:trPr>
        <w:tc>
          <w:tcPr>
            <w:tcW w:w="5637" w:type="dxa"/>
            <w:gridSpan w:val="3"/>
            <w:shd w:val="clear" w:color="auto" w:fill="DDD9C3" w:themeFill="background2" w:themeFillShade="E6"/>
            <w:vAlign w:val="center"/>
          </w:tcPr>
          <w:p w14:paraId="0E65F00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7B611F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EDBE6E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0D1A39DB" w14:textId="77777777" w:rsidTr="007673F3">
        <w:trPr>
          <w:trHeight w:val="194"/>
        </w:trPr>
        <w:tc>
          <w:tcPr>
            <w:tcW w:w="5637" w:type="dxa"/>
            <w:gridSpan w:val="3"/>
          </w:tcPr>
          <w:p w14:paraId="366A9F6C" w14:textId="77777777" w:rsidR="000F4FD4" w:rsidRPr="00705AAD" w:rsidRDefault="007C71FF"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3372C9FA" w14:textId="77777777" w:rsidR="000F4FD4" w:rsidRPr="00C3786D" w:rsidRDefault="00C3786D" w:rsidP="007673F3">
            <w:pPr>
              <w:jc w:val="center"/>
              <w:rPr>
                <w:rFonts w:ascii="Calibri" w:hAnsi="Calibri" w:cs="Arial"/>
                <w:color w:val="002060"/>
                <w:sz w:val="20"/>
                <w:szCs w:val="20"/>
              </w:rPr>
            </w:pPr>
            <w:r>
              <w:rPr>
                <w:rFonts w:ascii="Calibri" w:hAnsi="Calibri" w:cs="Arial"/>
                <w:color w:val="002060"/>
                <w:sz w:val="20"/>
                <w:szCs w:val="20"/>
              </w:rPr>
              <w:t>4</w:t>
            </w:r>
          </w:p>
        </w:tc>
        <w:tc>
          <w:tcPr>
            <w:tcW w:w="1240" w:type="dxa"/>
          </w:tcPr>
          <w:p w14:paraId="55BB4A32" w14:textId="77777777" w:rsidR="000F4FD4" w:rsidRPr="00C3786D" w:rsidRDefault="00C3786D"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2B7261ED" w14:textId="77777777" w:rsidTr="007673F3">
        <w:trPr>
          <w:trHeight w:val="194"/>
        </w:trPr>
        <w:tc>
          <w:tcPr>
            <w:tcW w:w="5637" w:type="dxa"/>
            <w:gridSpan w:val="3"/>
          </w:tcPr>
          <w:p w14:paraId="422A4A4B"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B7100E0"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93B8536" w14:textId="77777777" w:rsidR="000F4FD4" w:rsidRPr="00705AAD" w:rsidRDefault="000F4FD4" w:rsidP="007673F3">
            <w:pPr>
              <w:rPr>
                <w:rFonts w:ascii="Calibri" w:hAnsi="Calibri" w:cs="Arial"/>
                <w:color w:val="002060"/>
                <w:sz w:val="20"/>
                <w:szCs w:val="20"/>
                <w:lang w:val="el-GR"/>
              </w:rPr>
            </w:pPr>
          </w:p>
        </w:tc>
      </w:tr>
      <w:tr w:rsidR="000F4FD4" w:rsidRPr="00705AAD" w14:paraId="725AFA31" w14:textId="77777777" w:rsidTr="007673F3">
        <w:trPr>
          <w:trHeight w:val="194"/>
        </w:trPr>
        <w:tc>
          <w:tcPr>
            <w:tcW w:w="5637" w:type="dxa"/>
            <w:gridSpan w:val="3"/>
          </w:tcPr>
          <w:p w14:paraId="5E239DDB"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76BD5D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EF6850D" w14:textId="77777777" w:rsidR="000F4FD4" w:rsidRPr="00705AAD" w:rsidRDefault="000F4FD4" w:rsidP="007673F3">
            <w:pPr>
              <w:rPr>
                <w:rFonts w:ascii="Calibri" w:hAnsi="Calibri" w:cs="Arial"/>
                <w:color w:val="002060"/>
                <w:sz w:val="20"/>
                <w:szCs w:val="20"/>
                <w:lang w:val="el-GR"/>
              </w:rPr>
            </w:pPr>
          </w:p>
        </w:tc>
      </w:tr>
      <w:tr w:rsidR="000F4FD4" w:rsidRPr="00AB6161" w14:paraId="439C1F07" w14:textId="77777777" w:rsidTr="007673F3">
        <w:trPr>
          <w:trHeight w:val="194"/>
        </w:trPr>
        <w:tc>
          <w:tcPr>
            <w:tcW w:w="5637" w:type="dxa"/>
            <w:gridSpan w:val="3"/>
            <w:shd w:val="clear" w:color="auto" w:fill="DDD9C3" w:themeFill="background2" w:themeFillShade="E6"/>
          </w:tcPr>
          <w:p w14:paraId="273D2C07"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0CED6B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A0F2F73" w14:textId="77777777" w:rsidR="000F4FD4" w:rsidRPr="00705AAD" w:rsidRDefault="000F4FD4" w:rsidP="007673F3">
            <w:pPr>
              <w:rPr>
                <w:rFonts w:ascii="Calibri" w:hAnsi="Calibri" w:cs="Arial"/>
                <w:color w:val="002060"/>
                <w:sz w:val="20"/>
                <w:szCs w:val="20"/>
                <w:lang w:val="el-GR"/>
              </w:rPr>
            </w:pPr>
          </w:p>
        </w:tc>
      </w:tr>
      <w:tr w:rsidR="008E6AB4" w:rsidRPr="007E6482" w14:paraId="29042341" w14:textId="77777777" w:rsidTr="00AB6161">
        <w:trPr>
          <w:trHeight w:val="599"/>
        </w:trPr>
        <w:tc>
          <w:tcPr>
            <w:tcW w:w="3205" w:type="dxa"/>
            <w:shd w:val="clear" w:color="auto" w:fill="DDD9C3" w:themeFill="background2" w:themeFillShade="E6"/>
          </w:tcPr>
          <w:p w14:paraId="575F179F" w14:textId="77777777" w:rsidR="008E6AB4" w:rsidRPr="00705AAD" w:rsidRDefault="008E6AB4" w:rsidP="008E6AB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61A24EC" w14:textId="77777777" w:rsidR="008E6AB4" w:rsidRDefault="008E6AB4" w:rsidP="008E6AB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4075CBB" w14:textId="77777777" w:rsidR="008E6AB4" w:rsidRPr="00705AAD" w:rsidRDefault="008E6AB4" w:rsidP="008E6AB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shd w:val="clear" w:color="auto" w:fill="auto"/>
          </w:tcPr>
          <w:p w14:paraId="7A3B8F83" w14:textId="1152D9A3" w:rsidR="008E6AB4" w:rsidRDefault="00AB6161" w:rsidP="008E6AB4">
            <w:pPr>
              <w:rPr>
                <w:rFonts w:ascii="Calibri" w:hAnsi="Calibri" w:cs="Arial"/>
                <w:color w:val="002060"/>
                <w:sz w:val="20"/>
                <w:szCs w:val="20"/>
                <w:lang w:val="el-GR"/>
              </w:rPr>
            </w:pPr>
            <w:r>
              <w:rPr>
                <w:rFonts w:ascii="Calibri" w:hAnsi="Calibri" w:cs="Arial"/>
                <w:color w:val="002060"/>
                <w:sz w:val="20"/>
                <w:szCs w:val="20"/>
                <w:lang w:val="el-GR"/>
              </w:rPr>
              <w:t>Μάθημα επιλογής</w:t>
            </w:r>
            <w:r w:rsidR="008E6AB4" w:rsidRPr="00AB6161">
              <w:rPr>
                <w:rFonts w:ascii="Calibri" w:hAnsi="Calibri" w:cs="Arial"/>
                <w:color w:val="002060"/>
                <w:sz w:val="20"/>
                <w:szCs w:val="20"/>
                <w:lang w:val="el-GR"/>
              </w:rPr>
              <w:t xml:space="preserve"> γενικού υποβάθρου</w:t>
            </w:r>
            <w:r w:rsidR="008E6AB4">
              <w:rPr>
                <w:rFonts w:ascii="Calibri" w:hAnsi="Calibri" w:cs="Arial"/>
                <w:color w:val="002060"/>
                <w:sz w:val="20"/>
                <w:szCs w:val="20"/>
                <w:lang w:val="el-GR"/>
              </w:rPr>
              <w:t xml:space="preserve"> </w:t>
            </w:r>
          </w:p>
          <w:p w14:paraId="097D5A76" w14:textId="51A9CD73" w:rsidR="008E6AB4" w:rsidRPr="00040D81" w:rsidRDefault="008E6AB4" w:rsidP="008E6AB4">
            <w:pPr>
              <w:rPr>
                <w:rFonts w:ascii="Calibri" w:hAnsi="Calibri" w:cs="Arial"/>
                <w:caps/>
                <w:sz w:val="20"/>
                <w:szCs w:val="20"/>
                <w:lang w:val="el-GR"/>
              </w:rPr>
            </w:pPr>
          </w:p>
        </w:tc>
      </w:tr>
      <w:tr w:rsidR="000F4FD4" w:rsidRPr="00AB6161" w14:paraId="48616CDB" w14:textId="77777777" w:rsidTr="007673F3">
        <w:tc>
          <w:tcPr>
            <w:tcW w:w="3205" w:type="dxa"/>
            <w:shd w:val="clear" w:color="auto" w:fill="DDD9C3" w:themeFill="background2" w:themeFillShade="E6"/>
          </w:tcPr>
          <w:p w14:paraId="1EC94BE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B71CE3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4800B9AB" w14:textId="77777777" w:rsidR="000F4FD4" w:rsidRPr="00040D81" w:rsidRDefault="007C71FF" w:rsidP="007673F3">
            <w:pPr>
              <w:rPr>
                <w:rFonts w:ascii="Calibri" w:hAnsi="Calibri" w:cs="Arial"/>
                <w:caps/>
                <w:sz w:val="20"/>
                <w:szCs w:val="20"/>
                <w:lang w:val="el-GR"/>
              </w:rPr>
            </w:pPr>
            <w:r w:rsidRPr="00040D81">
              <w:rPr>
                <w:rFonts w:ascii="Calibri" w:hAnsi="Calibri" w:cs="Arial"/>
                <w:caps/>
                <w:sz w:val="20"/>
                <w:szCs w:val="20"/>
                <w:lang w:val="el-GR"/>
              </w:rPr>
              <w:t>OXI</w:t>
            </w:r>
          </w:p>
          <w:p w14:paraId="5EDFBCF8" w14:textId="4ECE7843" w:rsidR="007C71FF" w:rsidRPr="00040D81" w:rsidRDefault="007C71FF" w:rsidP="007C71FF">
            <w:pPr>
              <w:rPr>
                <w:rFonts w:ascii="Calibri" w:hAnsi="Calibri" w:cs="Arial"/>
                <w:caps/>
                <w:sz w:val="20"/>
                <w:szCs w:val="20"/>
                <w:lang w:val="el-GR"/>
              </w:rPr>
            </w:pPr>
            <w:r w:rsidRPr="00040D81">
              <w:rPr>
                <w:rFonts w:ascii="Calibri" w:hAnsi="Calibri" w:cs="Arial"/>
                <w:sz w:val="20"/>
                <w:szCs w:val="20"/>
                <w:lang w:val="el-GR"/>
              </w:rPr>
              <w:t>Ωστόσο το μάθημα «</w:t>
            </w:r>
            <w:r w:rsidR="008E6AB4">
              <w:rPr>
                <w:rFonts w:ascii="Calibri" w:hAnsi="Calibri" w:cs="Arial"/>
                <w:sz w:val="20"/>
                <w:szCs w:val="20"/>
                <w:lang w:val="el-GR"/>
              </w:rPr>
              <w:t xml:space="preserve">Αναλογιστικά Μοντέλα Συμβάντων Ζωής </w:t>
            </w:r>
            <w:r w:rsidR="003E06BF" w:rsidRPr="00040D81">
              <w:rPr>
                <w:rFonts w:ascii="Calibri" w:hAnsi="Calibri" w:cs="Arial"/>
                <w:sz w:val="20"/>
                <w:szCs w:val="20"/>
                <w:lang w:val="el-GR"/>
              </w:rPr>
              <w:t xml:space="preserve">Ι» του </w:t>
            </w:r>
            <w:r w:rsidR="008E6AB4">
              <w:rPr>
                <w:rFonts w:ascii="Calibri" w:hAnsi="Calibri" w:cs="Arial"/>
                <w:sz w:val="20"/>
                <w:szCs w:val="20"/>
                <w:lang w:val="el-GR"/>
              </w:rPr>
              <w:t>Δ</w:t>
            </w:r>
            <w:r w:rsidRPr="00040D81">
              <w:rPr>
                <w:rFonts w:ascii="Calibri" w:hAnsi="Calibri" w:cs="Arial"/>
                <w:sz w:val="20"/>
                <w:szCs w:val="20"/>
                <w:lang w:val="el-GR"/>
              </w:rPr>
              <w:t xml:space="preserve"> εξαμήνου βοηθά σημαντικά στην κατανόηση του μαθήματος.</w:t>
            </w:r>
          </w:p>
        </w:tc>
      </w:tr>
      <w:tr w:rsidR="000F4FD4" w:rsidRPr="00705AAD" w14:paraId="55947189" w14:textId="77777777" w:rsidTr="007673F3">
        <w:tc>
          <w:tcPr>
            <w:tcW w:w="3205" w:type="dxa"/>
            <w:shd w:val="clear" w:color="auto" w:fill="DDD9C3" w:themeFill="background2" w:themeFillShade="E6"/>
          </w:tcPr>
          <w:p w14:paraId="5C99E39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6BC6C53" w14:textId="77777777" w:rsidR="000F4FD4" w:rsidRPr="00040D81" w:rsidRDefault="00D87663" w:rsidP="007673F3">
            <w:pPr>
              <w:rPr>
                <w:rFonts w:ascii="Calibri" w:hAnsi="Calibri" w:cs="Arial"/>
                <w:caps/>
                <w:sz w:val="20"/>
                <w:szCs w:val="20"/>
                <w:lang w:val="el-GR"/>
              </w:rPr>
            </w:pPr>
            <w:r w:rsidRPr="00040D81">
              <w:rPr>
                <w:rFonts w:ascii="Calibri" w:hAnsi="Calibri" w:cs="Arial"/>
                <w:caps/>
                <w:sz w:val="20"/>
                <w:szCs w:val="20"/>
                <w:lang w:val="el-GR"/>
              </w:rPr>
              <w:t>Ελληνική</w:t>
            </w:r>
          </w:p>
        </w:tc>
      </w:tr>
      <w:tr w:rsidR="000F4FD4" w:rsidRPr="00661348" w14:paraId="5EBAC234" w14:textId="77777777" w:rsidTr="007673F3">
        <w:tc>
          <w:tcPr>
            <w:tcW w:w="3205" w:type="dxa"/>
            <w:shd w:val="clear" w:color="auto" w:fill="DDD9C3" w:themeFill="background2" w:themeFillShade="E6"/>
          </w:tcPr>
          <w:p w14:paraId="3AD4764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3C95B28" w14:textId="77777777" w:rsidR="000F4FD4" w:rsidRPr="00040D81" w:rsidRDefault="00D87663" w:rsidP="007673F3">
            <w:pPr>
              <w:rPr>
                <w:rFonts w:ascii="Calibri" w:hAnsi="Calibri" w:cs="Arial"/>
                <w:caps/>
                <w:sz w:val="20"/>
                <w:szCs w:val="20"/>
                <w:lang w:val="el-GR"/>
              </w:rPr>
            </w:pPr>
            <w:r w:rsidRPr="00040D81">
              <w:rPr>
                <w:rFonts w:ascii="Calibri" w:hAnsi="Calibri" w:cs="Arial"/>
                <w:caps/>
                <w:sz w:val="20"/>
                <w:szCs w:val="20"/>
                <w:lang w:val="el-GR"/>
              </w:rPr>
              <w:t>ΟΧΙ</w:t>
            </w:r>
          </w:p>
        </w:tc>
      </w:tr>
      <w:tr w:rsidR="000F4FD4" w:rsidRPr="00705AAD" w14:paraId="780793E1" w14:textId="77777777" w:rsidTr="007673F3">
        <w:tc>
          <w:tcPr>
            <w:tcW w:w="3205" w:type="dxa"/>
            <w:shd w:val="clear" w:color="auto" w:fill="DDD9C3" w:themeFill="background2" w:themeFillShade="E6"/>
          </w:tcPr>
          <w:p w14:paraId="3DB9395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5D92FB3" w14:textId="77777777" w:rsidR="000F4FD4" w:rsidRPr="00040D81" w:rsidRDefault="00D87663" w:rsidP="007673F3">
            <w:pPr>
              <w:spacing w:after="200" w:line="276" w:lineRule="auto"/>
              <w:rPr>
                <w:rFonts w:ascii="Calibri" w:eastAsia="Calibri" w:hAnsi="Calibri" w:cs="Arial"/>
                <w:sz w:val="20"/>
                <w:szCs w:val="20"/>
                <w:lang w:val="en-GB"/>
              </w:rPr>
            </w:pPr>
            <w:r w:rsidRPr="00040D81">
              <w:rPr>
                <w:rFonts w:ascii="Calibri" w:eastAsia="Calibri" w:hAnsi="Calibri" w:cs="Arial"/>
                <w:sz w:val="20"/>
                <w:szCs w:val="20"/>
                <w:lang w:val="en-GB"/>
              </w:rPr>
              <w:t>https://eclass.unipi.gr/courses/SAE105/</w:t>
            </w:r>
          </w:p>
        </w:tc>
      </w:tr>
    </w:tbl>
    <w:p w14:paraId="55C1253C"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83A63C9" w14:textId="77777777" w:rsidTr="00305D37">
        <w:tc>
          <w:tcPr>
            <w:tcW w:w="8472" w:type="dxa"/>
            <w:gridSpan w:val="2"/>
            <w:tcBorders>
              <w:bottom w:val="nil"/>
            </w:tcBorders>
            <w:shd w:val="clear" w:color="auto" w:fill="DDD9C3" w:themeFill="background2" w:themeFillShade="E6"/>
          </w:tcPr>
          <w:p w14:paraId="6DBE4A6F"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AB6161" w14:paraId="08047582" w14:textId="77777777" w:rsidTr="00305D37">
        <w:tc>
          <w:tcPr>
            <w:tcW w:w="8472" w:type="dxa"/>
            <w:gridSpan w:val="2"/>
            <w:tcBorders>
              <w:top w:val="nil"/>
            </w:tcBorders>
            <w:shd w:val="clear" w:color="auto" w:fill="DDD9C3" w:themeFill="background2" w:themeFillShade="E6"/>
          </w:tcPr>
          <w:p w14:paraId="3312D96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52A436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1683568"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5D5CE24"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652228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AB6161" w14:paraId="07AA4A43" w14:textId="77777777" w:rsidTr="00305D37">
        <w:tc>
          <w:tcPr>
            <w:tcW w:w="8472" w:type="dxa"/>
            <w:gridSpan w:val="2"/>
          </w:tcPr>
          <w:p w14:paraId="2E1CC07D" w14:textId="77777777" w:rsidR="000F4FD4" w:rsidRPr="008E6AB4" w:rsidRDefault="000F4FD4" w:rsidP="00305D37">
            <w:pPr>
              <w:widowControl w:val="0"/>
              <w:autoSpaceDE w:val="0"/>
              <w:autoSpaceDN w:val="0"/>
              <w:adjustRightInd w:val="0"/>
              <w:rPr>
                <w:rFonts w:ascii="Calibri" w:eastAsia="Calibri" w:hAnsi="Calibri"/>
                <w:b/>
                <w:lang w:val="el-GR"/>
              </w:rPr>
            </w:pPr>
          </w:p>
          <w:p w14:paraId="20114119" w14:textId="01B9EDBB" w:rsidR="000F4FD4" w:rsidRPr="008E6AB4" w:rsidRDefault="008E6AB4" w:rsidP="003E06BF">
            <w:pPr>
              <w:widowControl w:val="0"/>
              <w:autoSpaceDE w:val="0"/>
              <w:autoSpaceDN w:val="0"/>
              <w:adjustRightInd w:val="0"/>
              <w:jc w:val="both"/>
              <w:rPr>
                <w:rFonts w:asciiTheme="minorHAnsi" w:eastAsia="Calibri" w:hAnsiTheme="minorHAnsi" w:cstheme="minorHAnsi"/>
                <w:lang w:val="el-GR"/>
              </w:rPr>
            </w:pPr>
            <w:r w:rsidRPr="008E6AB4">
              <w:rPr>
                <w:rFonts w:ascii="Calibri" w:hAnsi="Calibri" w:cs="Arial"/>
                <w:lang w:val="el-GR"/>
              </w:rPr>
              <w:t>Το μάθημα «Αναλογιστικά Μοντέλα Συμβάντων Ζωής ΙΙ»</w:t>
            </w:r>
            <w:r w:rsidRPr="008E6AB4">
              <w:rPr>
                <w:rFonts w:asciiTheme="minorHAnsi" w:eastAsia="Calibri" w:hAnsiTheme="minorHAnsi" w:cstheme="minorHAnsi"/>
                <w:lang w:val="el-GR"/>
              </w:rPr>
              <w:t xml:space="preserve"> </w:t>
            </w:r>
            <w:r w:rsidR="007C71FF" w:rsidRPr="008E6AB4">
              <w:rPr>
                <w:rFonts w:asciiTheme="minorHAnsi" w:eastAsia="Calibri" w:hAnsiTheme="minorHAnsi" w:cstheme="minorHAnsi"/>
                <w:lang w:val="el-GR"/>
              </w:rPr>
              <w:t xml:space="preserve"> αποτελ</w:t>
            </w:r>
            <w:r w:rsidRPr="008E6AB4">
              <w:rPr>
                <w:rFonts w:asciiTheme="minorHAnsi" w:eastAsia="Calibri" w:hAnsiTheme="minorHAnsi" w:cstheme="minorHAnsi"/>
                <w:lang w:val="el-GR"/>
              </w:rPr>
              <w:t>εί</w:t>
            </w:r>
            <w:r w:rsidR="007C71FF" w:rsidRPr="008E6AB4">
              <w:rPr>
                <w:rFonts w:asciiTheme="minorHAnsi" w:eastAsia="Calibri" w:hAnsiTheme="minorHAnsi" w:cstheme="minorHAnsi"/>
                <w:lang w:val="el-GR"/>
              </w:rPr>
              <w:t xml:space="preserve"> συνέχεια του μαθήματος </w:t>
            </w:r>
            <w:r w:rsidRPr="008E6AB4">
              <w:rPr>
                <w:rFonts w:ascii="Calibri" w:hAnsi="Calibri" w:cs="Arial"/>
                <w:lang w:val="el-GR"/>
              </w:rPr>
              <w:t xml:space="preserve"> «Αναλογιστικά Μοντέλα Συμβάντων Ζωής Ι». </w:t>
            </w:r>
            <w:r w:rsidR="003E06BF" w:rsidRPr="008E6AB4">
              <w:rPr>
                <w:rFonts w:asciiTheme="minorHAnsi" w:eastAsia="Calibri" w:hAnsiTheme="minorHAnsi" w:cstheme="minorHAnsi"/>
                <w:lang w:val="el-GR"/>
              </w:rPr>
              <w:t xml:space="preserve">Το μάθημα καλύπτει τις περιοχές των μικτών ασφαλίστρων και αποθεμάτων, μοντέλα ασφαλίσεων ζωής που εμπλέκουν δύο ή περισσότερες ζωές, ελέγχους κερδοφορίας </w:t>
            </w:r>
            <w:r w:rsidR="007C71FF" w:rsidRPr="008E6AB4">
              <w:rPr>
                <w:rFonts w:asciiTheme="minorHAnsi" w:eastAsia="Calibri" w:hAnsiTheme="minorHAnsi" w:cstheme="minorHAnsi"/>
                <w:lang w:val="el-GR"/>
              </w:rPr>
              <w:t xml:space="preserve">μοντέλα με </w:t>
            </w:r>
            <w:r w:rsidR="003E06BF" w:rsidRPr="008E6AB4">
              <w:rPr>
                <w:rFonts w:asciiTheme="minorHAnsi" w:eastAsia="Calibri" w:hAnsiTheme="minorHAnsi" w:cstheme="minorHAnsi"/>
                <w:lang w:val="el-GR"/>
              </w:rPr>
              <w:t xml:space="preserve">πολλαπλά αίτια εξόδου και </w:t>
            </w:r>
            <w:r w:rsidR="007C71FF" w:rsidRPr="008E6AB4">
              <w:rPr>
                <w:rFonts w:asciiTheme="minorHAnsi" w:eastAsia="Calibri" w:hAnsiTheme="minorHAnsi" w:cstheme="minorHAnsi"/>
                <w:lang w:val="el-GR"/>
              </w:rPr>
              <w:t>θεωρία πολλαπλών καταστάσεων.</w:t>
            </w:r>
          </w:p>
          <w:p w14:paraId="50FB0CB6" w14:textId="77777777" w:rsidR="007C71FF" w:rsidRPr="008E6AB4" w:rsidRDefault="007C71FF" w:rsidP="00305D37">
            <w:pPr>
              <w:widowControl w:val="0"/>
              <w:autoSpaceDE w:val="0"/>
              <w:autoSpaceDN w:val="0"/>
              <w:adjustRightInd w:val="0"/>
              <w:rPr>
                <w:rFonts w:asciiTheme="minorHAnsi" w:eastAsia="Calibri" w:hAnsiTheme="minorHAnsi" w:cstheme="minorHAnsi"/>
                <w:b/>
                <w:lang w:val="el-GR"/>
              </w:rPr>
            </w:pPr>
          </w:p>
          <w:p w14:paraId="4A237789" w14:textId="77777777" w:rsidR="000F4FD4" w:rsidRPr="008E6AB4" w:rsidRDefault="00E96D50" w:rsidP="00305D37">
            <w:pPr>
              <w:widowControl w:val="0"/>
              <w:autoSpaceDE w:val="0"/>
              <w:autoSpaceDN w:val="0"/>
              <w:adjustRightInd w:val="0"/>
              <w:rPr>
                <w:rFonts w:asciiTheme="minorHAnsi" w:eastAsia="Calibri" w:hAnsiTheme="minorHAnsi" w:cstheme="minorHAnsi"/>
                <w:lang w:val="el-GR"/>
              </w:rPr>
            </w:pPr>
            <w:r w:rsidRPr="008E6AB4">
              <w:rPr>
                <w:rFonts w:asciiTheme="minorHAnsi" w:eastAsia="Calibri" w:hAnsiTheme="minorHAnsi" w:cstheme="minorHAnsi"/>
                <w:lang w:val="el-GR"/>
              </w:rPr>
              <w:t>Με την επιτυχή ολοκλήρωση του μαθήματος ο φοιτητής θα μπορεί να:</w:t>
            </w:r>
          </w:p>
          <w:p w14:paraId="4DAD9F4E" w14:textId="77777777" w:rsidR="000F4FD4" w:rsidRPr="008E6AB4" w:rsidRDefault="000F4FD4" w:rsidP="00305D37">
            <w:pPr>
              <w:widowControl w:val="0"/>
              <w:autoSpaceDE w:val="0"/>
              <w:autoSpaceDN w:val="0"/>
              <w:adjustRightInd w:val="0"/>
              <w:rPr>
                <w:rFonts w:asciiTheme="minorHAnsi" w:eastAsia="Calibri" w:hAnsiTheme="minorHAnsi" w:cstheme="minorHAnsi"/>
                <w:b/>
                <w:lang w:val="el-GR"/>
              </w:rPr>
            </w:pPr>
          </w:p>
          <w:p w14:paraId="18C559B1" w14:textId="77777777" w:rsidR="00E96D50" w:rsidRPr="008E6AB4" w:rsidRDefault="00E96D50" w:rsidP="00E96D50">
            <w:pPr>
              <w:numPr>
                <w:ilvl w:val="0"/>
                <w:numId w:val="46"/>
              </w:numPr>
              <w:jc w:val="both"/>
              <w:rPr>
                <w:rFonts w:asciiTheme="minorHAnsi" w:hAnsiTheme="minorHAnsi" w:cstheme="minorHAnsi"/>
                <w:lang w:val="el-GR" w:eastAsia="el-GR"/>
              </w:rPr>
            </w:pPr>
            <w:r w:rsidRPr="008E6AB4">
              <w:rPr>
                <w:rFonts w:asciiTheme="minorHAnsi" w:hAnsiTheme="minorHAnsi" w:cstheme="minorHAnsi"/>
                <w:lang w:val="el-GR" w:eastAsia="el-GR"/>
              </w:rPr>
              <w:t xml:space="preserve">Υπολογίζει μικτά ασφάλιστρα και αποθέματα χρησιμοποιώντας την αρχή ισοδυναμίας υπολογισμού των ασφαλίστρων. </w:t>
            </w:r>
          </w:p>
          <w:p w14:paraId="660E936C" w14:textId="77777777" w:rsidR="00E96D50" w:rsidRPr="008E6AB4" w:rsidRDefault="00E96D50" w:rsidP="00E96D50">
            <w:pPr>
              <w:numPr>
                <w:ilvl w:val="0"/>
                <w:numId w:val="46"/>
              </w:numPr>
              <w:rPr>
                <w:rFonts w:asciiTheme="minorHAnsi" w:hAnsiTheme="minorHAnsi" w:cstheme="minorHAnsi"/>
                <w:lang w:val="el-GR" w:eastAsia="el-GR"/>
              </w:rPr>
            </w:pPr>
            <w:r w:rsidRPr="008E6AB4">
              <w:rPr>
                <w:rFonts w:asciiTheme="minorHAnsi" w:hAnsiTheme="minorHAnsi" w:cstheme="minorHAnsi"/>
                <w:lang w:val="el-GR" w:eastAsia="el-GR"/>
              </w:rPr>
              <w:lastRenderedPageBreak/>
              <w:t>Υπολογίζει τροποποιημένα μικτά ασφάλιστρα και αποθέματα.</w:t>
            </w:r>
          </w:p>
          <w:p w14:paraId="583A71F2" w14:textId="77777777" w:rsidR="00E96D50" w:rsidRPr="008E6AB4" w:rsidRDefault="00E96D50" w:rsidP="00E96D50">
            <w:pPr>
              <w:numPr>
                <w:ilvl w:val="0"/>
                <w:numId w:val="46"/>
              </w:numPr>
              <w:rPr>
                <w:rFonts w:asciiTheme="minorHAnsi" w:hAnsiTheme="minorHAnsi" w:cstheme="minorHAnsi"/>
                <w:lang w:eastAsia="el-GR"/>
              </w:rPr>
            </w:pPr>
            <w:r w:rsidRPr="008E6AB4">
              <w:rPr>
                <w:rFonts w:asciiTheme="minorHAnsi" w:hAnsiTheme="minorHAnsi" w:cstheme="minorHAnsi"/>
                <w:lang w:val="el-GR" w:eastAsia="el-GR"/>
              </w:rPr>
              <w:t>Εκτελεί έλεγχο κερδοφορίας</w:t>
            </w:r>
            <w:r w:rsidRPr="008E6AB4">
              <w:rPr>
                <w:rFonts w:asciiTheme="minorHAnsi" w:hAnsiTheme="minorHAnsi" w:cstheme="minorHAnsi"/>
                <w:lang w:eastAsia="el-GR"/>
              </w:rPr>
              <w:t>.</w:t>
            </w:r>
          </w:p>
          <w:p w14:paraId="55323757" w14:textId="77777777" w:rsidR="00E96D50" w:rsidRPr="008E6AB4" w:rsidRDefault="00E96D50" w:rsidP="00E96D50">
            <w:pPr>
              <w:numPr>
                <w:ilvl w:val="0"/>
                <w:numId w:val="46"/>
              </w:numPr>
              <w:rPr>
                <w:rFonts w:asciiTheme="minorHAnsi" w:hAnsiTheme="minorHAnsi" w:cstheme="minorHAnsi"/>
                <w:lang w:val="el-GR" w:eastAsia="el-GR"/>
              </w:rPr>
            </w:pPr>
            <w:r w:rsidRPr="008E6AB4">
              <w:rPr>
                <w:rFonts w:asciiTheme="minorHAnsi" w:hAnsiTheme="minorHAnsi" w:cstheme="minorHAnsi"/>
                <w:lang w:val="el-GR" w:eastAsia="el-GR"/>
              </w:rPr>
              <w:t xml:space="preserve">Επιλύει προβλήματα ασφαλίσεων και </w:t>
            </w:r>
            <w:proofErr w:type="spellStart"/>
            <w:r w:rsidRPr="008E6AB4">
              <w:rPr>
                <w:rFonts w:asciiTheme="minorHAnsi" w:hAnsiTheme="minorHAnsi" w:cstheme="minorHAnsi"/>
                <w:lang w:val="el-GR" w:eastAsia="el-GR"/>
              </w:rPr>
              <w:t>ράντων</w:t>
            </w:r>
            <w:proofErr w:type="spellEnd"/>
            <w:r w:rsidRPr="008E6AB4">
              <w:rPr>
                <w:rFonts w:asciiTheme="minorHAnsi" w:hAnsiTheme="minorHAnsi" w:cstheme="minorHAnsi"/>
                <w:lang w:val="el-GR" w:eastAsia="el-GR"/>
              </w:rPr>
              <w:t xml:space="preserve"> ζωής που εμπλέκουν περισσότερες από δύο ζωές.</w:t>
            </w:r>
          </w:p>
          <w:p w14:paraId="0281EA10" w14:textId="77777777" w:rsidR="00E96D50" w:rsidRPr="008E6AB4" w:rsidRDefault="00E96D50" w:rsidP="00E96D50">
            <w:pPr>
              <w:numPr>
                <w:ilvl w:val="0"/>
                <w:numId w:val="46"/>
              </w:numPr>
              <w:rPr>
                <w:rFonts w:asciiTheme="minorHAnsi" w:hAnsiTheme="minorHAnsi" w:cstheme="minorHAnsi"/>
                <w:lang w:val="el-GR" w:eastAsia="el-GR"/>
              </w:rPr>
            </w:pPr>
            <w:r w:rsidRPr="008E6AB4">
              <w:rPr>
                <w:rFonts w:asciiTheme="minorHAnsi" w:hAnsiTheme="minorHAnsi" w:cstheme="minorHAnsi"/>
                <w:lang w:val="el-GR" w:eastAsia="el-GR"/>
              </w:rPr>
              <w:t>Κατασκευάζει και αναλύει πίνακες με πολλαπλά αίτια εξόδου</w:t>
            </w:r>
          </w:p>
          <w:p w14:paraId="4CFD190A" w14:textId="77777777" w:rsidR="00F03B25" w:rsidRPr="008E6AB4" w:rsidRDefault="00E96D50" w:rsidP="008E32A3">
            <w:pPr>
              <w:numPr>
                <w:ilvl w:val="0"/>
                <w:numId w:val="46"/>
              </w:numPr>
              <w:rPr>
                <w:rFonts w:asciiTheme="minorHAnsi" w:hAnsiTheme="minorHAnsi" w:cstheme="minorHAnsi"/>
                <w:lang w:val="el-GR" w:eastAsia="el-GR"/>
              </w:rPr>
            </w:pPr>
            <w:r w:rsidRPr="008E6AB4">
              <w:rPr>
                <w:rFonts w:asciiTheme="minorHAnsi" w:hAnsiTheme="minorHAnsi" w:cstheme="minorHAnsi"/>
                <w:lang w:val="el-GR" w:eastAsia="el-GR"/>
              </w:rPr>
              <w:t>Επιλύ</w:t>
            </w:r>
            <w:r w:rsidR="006712F3" w:rsidRPr="008E6AB4">
              <w:rPr>
                <w:rFonts w:asciiTheme="minorHAnsi" w:hAnsiTheme="minorHAnsi" w:cstheme="minorHAnsi"/>
                <w:lang w:val="el-GR" w:eastAsia="el-GR"/>
              </w:rPr>
              <w:t>ει προβλήματα ασ</w:t>
            </w:r>
            <w:r w:rsidR="008E32A3" w:rsidRPr="008E6AB4">
              <w:rPr>
                <w:rFonts w:asciiTheme="minorHAnsi" w:hAnsiTheme="minorHAnsi" w:cstheme="minorHAnsi"/>
                <w:lang w:val="el-GR" w:eastAsia="el-GR"/>
              </w:rPr>
              <w:t>φαλίσεων ζωής που εμπλέκουν πολλαπλά αίτια εξόδου</w:t>
            </w:r>
            <w:r w:rsidRPr="008E6AB4">
              <w:rPr>
                <w:rFonts w:asciiTheme="minorHAnsi" w:hAnsiTheme="minorHAnsi" w:cstheme="minorHAnsi"/>
                <w:lang w:val="el-GR" w:eastAsia="el-GR"/>
              </w:rPr>
              <w:t>.</w:t>
            </w:r>
          </w:p>
          <w:p w14:paraId="24B67B70" w14:textId="77777777" w:rsidR="008E32A3" w:rsidRPr="008E6AB4" w:rsidRDefault="008E32A3" w:rsidP="008E32A3">
            <w:pPr>
              <w:ind w:left="720"/>
              <w:rPr>
                <w:rFonts w:asciiTheme="majorHAnsi" w:hAnsiTheme="majorHAnsi" w:cstheme="majorHAnsi"/>
                <w:lang w:val="el-GR" w:eastAsia="el-GR"/>
              </w:rPr>
            </w:pPr>
          </w:p>
        </w:tc>
      </w:tr>
      <w:tr w:rsidR="000F4FD4" w:rsidRPr="00705AAD" w14:paraId="46CA1B7A"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AEFA643"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AB6161" w14:paraId="029C9420" w14:textId="77777777" w:rsidTr="00305D37">
        <w:tc>
          <w:tcPr>
            <w:tcW w:w="8472" w:type="dxa"/>
            <w:gridSpan w:val="2"/>
            <w:tcBorders>
              <w:top w:val="nil"/>
              <w:bottom w:val="nil"/>
            </w:tcBorders>
            <w:shd w:val="clear" w:color="auto" w:fill="DDD9C3" w:themeFill="background2" w:themeFillShade="E6"/>
          </w:tcPr>
          <w:p w14:paraId="528CE79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4BE38E0C"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BEB39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9F8DF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BA117F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E20583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9E5CDF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01C34C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522B12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EF227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AD735D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39FA5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4457EA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919669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E82CF4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B57D29B"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3375409"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C9F9AE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207AF7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AB6161" w14:paraId="30D4C4B1" w14:textId="77777777" w:rsidTr="00305D37">
        <w:tc>
          <w:tcPr>
            <w:tcW w:w="8472" w:type="dxa"/>
            <w:gridSpan w:val="2"/>
            <w:tcBorders>
              <w:bottom w:val="single" w:sz="4" w:space="0" w:color="auto"/>
            </w:tcBorders>
          </w:tcPr>
          <w:p w14:paraId="5A69422F" w14:textId="4C80D45B" w:rsidR="008E6AB4" w:rsidRDefault="008E6AB4" w:rsidP="00F93571">
            <w:pPr>
              <w:widowControl w:val="0"/>
              <w:autoSpaceDE w:val="0"/>
              <w:autoSpaceDN w:val="0"/>
              <w:adjustRightInd w:val="0"/>
              <w:rPr>
                <w:rFonts w:ascii="Calibri" w:hAnsi="Calibri" w:cs="Arial"/>
                <w:i/>
                <w:lang w:val="el-GR"/>
              </w:rPr>
            </w:pPr>
          </w:p>
          <w:p w14:paraId="055F8CF7" w14:textId="70B2687A" w:rsidR="008E6AB4" w:rsidRPr="008E6AB4" w:rsidRDefault="008E6AB4" w:rsidP="008E6AB4">
            <w:pPr>
              <w:widowControl w:val="0"/>
              <w:autoSpaceDE w:val="0"/>
              <w:autoSpaceDN w:val="0"/>
              <w:adjustRightInd w:val="0"/>
              <w:jc w:val="both"/>
              <w:rPr>
                <w:rFonts w:ascii="Calibri" w:eastAsia="Calibri" w:hAnsi="Calibri"/>
                <w:color w:val="002060"/>
                <w:lang w:val="el-GR"/>
              </w:rPr>
            </w:pPr>
            <w:r w:rsidRPr="008E6AB4">
              <w:rPr>
                <w:rFonts w:ascii="Calibri" w:eastAsia="Calibri" w:hAnsi="Calibri"/>
                <w:color w:val="002060"/>
                <w:lang w:val="el-GR"/>
              </w:rPr>
              <w:t>Το μάθημα αποσκοπεί στην απόκτηση, εκ μέρους του/της φοιτητή/</w:t>
            </w:r>
            <w:proofErr w:type="spellStart"/>
            <w:r w:rsidRPr="008E6AB4">
              <w:rPr>
                <w:rFonts w:ascii="Calibri" w:eastAsia="Calibri" w:hAnsi="Calibri"/>
                <w:color w:val="002060"/>
                <w:lang w:val="el-GR"/>
              </w:rPr>
              <w:t>τριας</w:t>
            </w:r>
            <w:proofErr w:type="spellEnd"/>
            <w:r w:rsidRPr="008E6AB4">
              <w:rPr>
                <w:rFonts w:ascii="Calibri" w:eastAsia="Calibri" w:hAnsi="Calibri"/>
                <w:color w:val="002060"/>
                <w:lang w:val="el-GR"/>
              </w:rPr>
              <w:t>, ικανοτήτων όπως:</w:t>
            </w:r>
          </w:p>
          <w:p w14:paraId="578EF26F" w14:textId="77777777" w:rsidR="008E6AB4" w:rsidRPr="008E6AB4" w:rsidRDefault="008E6AB4" w:rsidP="00F93571">
            <w:pPr>
              <w:widowControl w:val="0"/>
              <w:autoSpaceDE w:val="0"/>
              <w:autoSpaceDN w:val="0"/>
              <w:adjustRightInd w:val="0"/>
              <w:rPr>
                <w:rFonts w:ascii="Calibri" w:hAnsi="Calibri" w:cs="Arial"/>
                <w:i/>
                <w:lang w:val="el-GR"/>
              </w:rPr>
            </w:pPr>
          </w:p>
          <w:p w14:paraId="73CD3B12" w14:textId="131CEBCE" w:rsidR="00F93571" w:rsidRPr="008E6AB4" w:rsidRDefault="00F93571" w:rsidP="008E6AB4">
            <w:pPr>
              <w:pStyle w:val="ListParagraph"/>
              <w:widowControl w:val="0"/>
              <w:numPr>
                <w:ilvl w:val="0"/>
                <w:numId w:val="47"/>
              </w:numPr>
              <w:autoSpaceDE w:val="0"/>
              <w:autoSpaceDN w:val="0"/>
              <w:adjustRightInd w:val="0"/>
              <w:rPr>
                <w:rFonts w:cs="Arial"/>
                <w:iCs/>
                <w:sz w:val="24"/>
                <w:szCs w:val="24"/>
              </w:rPr>
            </w:pPr>
            <w:r w:rsidRPr="008E6AB4">
              <w:rPr>
                <w:rFonts w:cs="Arial"/>
                <w:iCs/>
                <w:sz w:val="24"/>
                <w:szCs w:val="24"/>
              </w:rPr>
              <w:t xml:space="preserve">Αναζήτηση, ανάλυση και σύνθεση δεδομένων και πληροφοριών, με τη χρήση και των απαραίτητων τεχνολογιών </w:t>
            </w:r>
          </w:p>
          <w:p w14:paraId="23602424" w14:textId="77777777" w:rsidR="00F93571" w:rsidRPr="008E6AB4" w:rsidRDefault="00F93571" w:rsidP="008E6AB4">
            <w:pPr>
              <w:pStyle w:val="ListParagraph"/>
              <w:widowControl w:val="0"/>
              <w:numPr>
                <w:ilvl w:val="0"/>
                <w:numId w:val="47"/>
              </w:numPr>
              <w:autoSpaceDE w:val="0"/>
              <w:autoSpaceDN w:val="0"/>
              <w:adjustRightInd w:val="0"/>
              <w:rPr>
                <w:rFonts w:cs="Arial"/>
                <w:iCs/>
                <w:sz w:val="24"/>
                <w:szCs w:val="24"/>
              </w:rPr>
            </w:pPr>
            <w:r w:rsidRPr="008E6AB4">
              <w:rPr>
                <w:rFonts w:cs="Arial"/>
                <w:iCs/>
                <w:sz w:val="24"/>
                <w:szCs w:val="24"/>
              </w:rPr>
              <w:t xml:space="preserve">Αυτόνομη εργασία </w:t>
            </w:r>
          </w:p>
          <w:p w14:paraId="3228B8ED" w14:textId="1B352296" w:rsidR="008E6AB4" w:rsidRPr="008E6AB4" w:rsidRDefault="00F93571" w:rsidP="008E6AB4">
            <w:pPr>
              <w:pStyle w:val="ListParagraph"/>
              <w:numPr>
                <w:ilvl w:val="0"/>
                <w:numId w:val="47"/>
              </w:numPr>
              <w:rPr>
                <w:rFonts w:cs="Arial"/>
                <w:iCs/>
                <w:sz w:val="24"/>
                <w:szCs w:val="24"/>
              </w:rPr>
            </w:pPr>
            <w:r w:rsidRPr="008E6AB4">
              <w:rPr>
                <w:rFonts w:cs="Arial"/>
                <w:iCs/>
                <w:sz w:val="24"/>
                <w:szCs w:val="24"/>
              </w:rPr>
              <w:t>Προαγωγή της ελεύθερης, δημιουργικής και επαγωγικής σκέψης</w:t>
            </w:r>
          </w:p>
          <w:p w14:paraId="40CA6D6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0BE9F777" w14:textId="5073FA95"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C611939" w14:textId="04115330"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7B103BF" w14:textId="4CE98FC7"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73D9385" w14:textId="50512111"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36E7B84" w14:textId="508557D6"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6878143" w14:textId="3776BCFC"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13CDAA0" w14:textId="769C061C"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AA36624" w14:textId="49926A97"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10FF1D5" w14:textId="2BBD3D17"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5DD647D" w14:textId="6964CDAC"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B333D83" w14:textId="57CBB85C"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D6C7F3C" w14:textId="0659E429"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192B7AF" w14:textId="349D96A8"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CA97BF5" w14:textId="2D052013"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8AC49FA" w14:textId="449EC3D4"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9CB64D9" w14:textId="2AE8A197" w:rsidR="008E6AB4" w:rsidRDefault="008E6AB4" w:rsidP="008E6AB4">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98BDFA5" w14:textId="77777777" w:rsidR="008E6AB4" w:rsidRPr="008E6AB4" w:rsidRDefault="008E6AB4" w:rsidP="008E6AB4">
      <w:pPr>
        <w:widowControl w:val="0"/>
        <w:autoSpaceDE w:val="0"/>
        <w:autoSpaceDN w:val="0"/>
        <w:adjustRightInd w:val="0"/>
        <w:spacing w:line="276" w:lineRule="auto"/>
        <w:ind w:left="357"/>
        <w:rPr>
          <w:rFonts w:ascii="Calibri" w:hAnsi="Calibri" w:cs="Arial"/>
          <w:b/>
          <w:color w:val="000000"/>
          <w:sz w:val="16"/>
          <w:szCs w:val="16"/>
          <w:lang w:val="el-GR"/>
        </w:rPr>
      </w:pPr>
    </w:p>
    <w:p w14:paraId="6D8A88D3" w14:textId="3C4A5D4C"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F391A" w:rsidRPr="00AB6161" w14:paraId="0EC8DBB3" w14:textId="77777777" w:rsidTr="007673F3">
        <w:tc>
          <w:tcPr>
            <w:tcW w:w="8472" w:type="dxa"/>
          </w:tcPr>
          <w:p w14:paraId="76AFEE46" w14:textId="77777777" w:rsidR="000F4FD4" w:rsidRPr="00AB6161" w:rsidRDefault="000F4FD4" w:rsidP="007673F3">
            <w:pPr>
              <w:rPr>
                <w:rFonts w:ascii="Calibri" w:eastAsia="Calibri" w:hAnsi="Calibri"/>
                <w:iCs/>
                <w:lang w:val="el-GR"/>
              </w:rPr>
            </w:pPr>
          </w:p>
          <w:p w14:paraId="5654FBB9" w14:textId="77777777" w:rsidR="002E35E2" w:rsidRPr="00040D81" w:rsidRDefault="002E35E2" w:rsidP="00661348">
            <w:pPr>
              <w:jc w:val="both"/>
              <w:rPr>
                <w:rFonts w:asciiTheme="minorHAnsi" w:hAnsiTheme="minorHAnsi" w:cstheme="minorHAnsi"/>
                <w:lang w:val="el-GR"/>
              </w:rPr>
            </w:pPr>
            <w:r w:rsidRPr="00040D81">
              <w:rPr>
                <w:rFonts w:asciiTheme="minorHAnsi" w:hAnsiTheme="minorHAnsi" w:cstheme="minorHAnsi"/>
                <w:b/>
                <w:lang w:val="el-GR"/>
              </w:rPr>
              <w:t>Μοντέλα ασφαλίσεων που συμπεριλαμβάνουν έξοδα:</w:t>
            </w:r>
            <w:r w:rsidRPr="00040D81">
              <w:rPr>
                <w:rFonts w:asciiTheme="minorHAnsi" w:hAnsiTheme="minorHAnsi" w:cstheme="minorHAnsi"/>
                <w:lang w:val="el-GR"/>
              </w:rPr>
              <w:t xml:space="preserve"> </w:t>
            </w:r>
            <w:r w:rsidR="00661348" w:rsidRPr="00040D81">
              <w:rPr>
                <w:rFonts w:asciiTheme="minorHAnsi" w:hAnsiTheme="minorHAnsi" w:cstheme="minorHAnsi"/>
                <w:lang w:val="el-GR"/>
              </w:rPr>
              <w:t>Είδη εξόδων και ταξινόμηση αυτών, μικτά ή εμπορι</w:t>
            </w:r>
            <w:r w:rsidRPr="00040D81">
              <w:rPr>
                <w:rFonts w:asciiTheme="minorHAnsi" w:hAnsiTheme="minorHAnsi" w:cstheme="minorHAnsi"/>
                <w:lang w:val="el-GR"/>
              </w:rPr>
              <w:t xml:space="preserve">κά ασφάλιστρα, </w:t>
            </w:r>
            <w:r w:rsidR="00661348" w:rsidRPr="00040D81">
              <w:rPr>
                <w:rFonts w:asciiTheme="minorHAnsi" w:hAnsiTheme="minorHAnsi" w:cstheme="minorHAnsi"/>
                <w:lang w:val="el-GR"/>
              </w:rPr>
              <w:t xml:space="preserve">αποθέματα εμπορικού ασφαλίστρου, τροποποιημένα καθαρά ασφάλιστρα και αποθέματα, </w:t>
            </w:r>
            <w:proofErr w:type="spellStart"/>
            <w:r w:rsidR="00661348" w:rsidRPr="00040D81">
              <w:rPr>
                <w:rFonts w:asciiTheme="minorHAnsi" w:hAnsiTheme="minorHAnsi" w:cstheme="minorHAnsi"/>
                <w:lang w:val="el-GR"/>
              </w:rPr>
              <w:t>αναπόσβεστα</w:t>
            </w:r>
            <w:proofErr w:type="spellEnd"/>
            <w:r w:rsidR="00661348" w:rsidRPr="00040D81">
              <w:rPr>
                <w:rFonts w:asciiTheme="minorHAnsi" w:hAnsiTheme="minorHAnsi" w:cstheme="minorHAnsi"/>
                <w:lang w:val="el-GR"/>
              </w:rPr>
              <w:t xml:space="preserve"> έξοδα και εξαγορά συμβολαίου, αξίες εξαγοράς, μερίδια στο ενεργητικό (</w:t>
            </w:r>
            <w:r w:rsidR="00661348" w:rsidRPr="00040D81">
              <w:rPr>
                <w:rFonts w:asciiTheme="minorHAnsi" w:hAnsiTheme="minorHAnsi" w:cstheme="minorHAnsi"/>
              </w:rPr>
              <w:t>asset</w:t>
            </w:r>
            <w:r w:rsidR="00661348" w:rsidRPr="00040D81">
              <w:rPr>
                <w:rFonts w:asciiTheme="minorHAnsi" w:hAnsiTheme="minorHAnsi" w:cstheme="minorHAnsi"/>
                <w:lang w:val="el-GR"/>
              </w:rPr>
              <w:t xml:space="preserve"> </w:t>
            </w:r>
            <w:r w:rsidR="00661348" w:rsidRPr="00040D81">
              <w:rPr>
                <w:rFonts w:asciiTheme="minorHAnsi" w:hAnsiTheme="minorHAnsi" w:cstheme="minorHAnsi"/>
              </w:rPr>
              <w:t>shares</w:t>
            </w:r>
            <w:r w:rsidR="00661348" w:rsidRPr="00040D81">
              <w:rPr>
                <w:rFonts w:asciiTheme="minorHAnsi" w:hAnsiTheme="minorHAnsi" w:cstheme="minorHAnsi"/>
                <w:lang w:val="el-GR"/>
              </w:rPr>
              <w:t>), δοκιμασίες κερδοφορία</w:t>
            </w:r>
            <w:r w:rsidR="004041EB" w:rsidRPr="00040D81">
              <w:rPr>
                <w:rFonts w:asciiTheme="minorHAnsi" w:hAnsiTheme="minorHAnsi" w:cstheme="minorHAnsi"/>
                <w:lang w:val="el-GR"/>
              </w:rPr>
              <w:t>ς, σύγχρονα μεταβλητά προϊόντα συνδεδεμένα με μερίδια.</w:t>
            </w:r>
          </w:p>
          <w:p w14:paraId="1549D1A2" w14:textId="77777777" w:rsidR="002E35E2" w:rsidRPr="00040D81" w:rsidRDefault="002E35E2" w:rsidP="00661348">
            <w:pPr>
              <w:jc w:val="both"/>
              <w:rPr>
                <w:rFonts w:asciiTheme="minorHAnsi" w:hAnsiTheme="minorHAnsi" w:cstheme="minorHAnsi"/>
                <w:lang w:val="el-GR"/>
              </w:rPr>
            </w:pPr>
          </w:p>
          <w:p w14:paraId="4BFBFD22" w14:textId="77777777" w:rsidR="002E35E2" w:rsidRPr="00040D81" w:rsidRDefault="002E35E2" w:rsidP="00661348">
            <w:pPr>
              <w:jc w:val="both"/>
              <w:rPr>
                <w:rFonts w:asciiTheme="minorHAnsi" w:hAnsiTheme="minorHAnsi" w:cstheme="minorHAnsi"/>
                <w:lang w:val="el-GR"/>
              </w:rPr>
            </w:pPr>
            <w:r w:rsidRPr="00040D81">
              <w:rPr>
                <w:rFonts w:asciiTheme="minorHAnsi" w:hAnsiTheme="minorHAnsi" w:cstheme="minorHAnsi"/>
                <w:b/>
                <w:lang w:val="el-GR"/>
              </w:rPr>
              <w:t>Από κοινού ασφαλίσεις:</w:t>
            </w:r>
            <w:r w:rsidRPr="00040D81">
              <w:rPr>
                <w:rFonts w:asciiTheme="minorHAnsi" w:hAnsiTheme="minorHAnsi" w:cstheme="minorHAnsi"/>
                <w:lang w:val="el-GR"/>
              </w:rPr>
              <w:t xml:space="preserve"> </w:t>
            </w:r>
            <w:r w:rsidR="00661348" w:rsidRPr="00040D81">
              <w:rPr>
                <w:rFonts w:asciiTheme="minorHAnsi" w:hAnsiTheme="minorHAnsi" w:cstheme="minorHAnsi"/>
                <w:lang w:val="el-GR"/>
              </w:rPr>
              <w:t>Από κοινού πιθα</w:t>
            </w:r>
            <w:r w:rsidRPr="00040D81">
              <w:rPr>
                <w:rFonts w:asciiTheme="minorHAnsi" w:hAnsiTheme="minorHAnsi" w:cstheme="minorHAnsi"/>
                <w:lang w:val="el-GR"/>
              </w:rPr>
              <w:t xml:space="preserve">νότητες ζωής και θανάτου, </w:t>
            </w:r>
            <w:proofErr w:type="spellStart"/>
            <w:r w:rsidRPr="00040D81">
              <w:rPr>
                <w:rFonts w:asciiTheme="minorHAnsi" w:hAnsiTheme="minorHAnsi" w:cstheme="minorHAnsi"/>
                <w:lang w:val="el-GR"/>
              </w:rPr>
              <w:t>κατάs</w:t>
            </w:r>
            <w:r w:rsidR="00661348" w:rsidRPr="00040D81">
              <w:rPr>
                <w:rFonts w:asciiTheme="minorHAnsi" w:hAnsiTheme="minorHAnsi" w:cstheme="minorHAnsi"/>
                <w:lang w:val="el-GR"/>
              </w:rPr>
              <w:t>ταση</w:t>
            </w:r>
            <w:proofErr w:type="spellEnd"/>
            <w:r w:rsidR="00661348" w:rsidRPr="00040D81">
              <w:rPr>
                <w:rFonts w:asciiTheme="minorHAnsi" w:hAnsiTheme="minorHAnsi" w:cstheme="minorHAnsi"/>
                <w:lang w:val="el-GR"/>
              </w:rPr>
              <w:t xml:space="preserve"> από κοινού ζωής και κατάσταση τελευταίου επιζώντος, ασφαλίσεις και ράντες ζωής δύο ατόμων, υπολογισμός των πιθανοτήτων και της από κοινού έντασης θνησιμότητας για ειδικούς νόμους θνησιμότητας (</w:t>
            </w:r>
            <w:proofErr w:type="spellStart"/>
            <w:r w:rsidR="00661348" w:rsidRPr="00040D81">
              <w:rPr>
                <w:rFonts w:asciiTheme="minorHAnsi" w:hAnsiTheme="minorHAnsi" w:cstheme="minorHAnsi"/>
              </w:rPr>
              <w:t>Gompertz</w:t>
            </w:r>
            <w:proofErr w:type="spellEnd"/>
            <w:r w:rsidR="00661348" w:rsidRPr="00040D81">
              <w:rPr>
                <w:rFonts w:asciiTheme="minorHAnsi" w:hAnsiTheme="minorHAnsi" w:cstheme="minorHAnsi"/>
                <w:lang w:val="el-GR"/>
              </w:rPr>
              <w:t xml:space="preserve">, </w:t>
            </w:r>
            <w:proofErr w:type="spellStart"/>
            <w:r w:rsidR="00661348" w:rsidRPr="00040D81">
              <w:rPr>
                <w:rFonts w:asciiTheme="minorHAnsi" w:hAnsiTheme="minorHAnsi" w:cstheme="minorHAnsi"/>
              </w:rPr>
              <w:t>Makeham</w:t>
            </w:r>
            <w:proofErr w:type="spellEnd"/>
            <w:r w:rsidR="00661348" w:rsidRPr="00040D81">
              <w:rPr>
                <w:rFonts w:asciiTheme="minorHAnsi" w:hAnsiTheme="minorHAnsi" w:cstheme="minorHAnsi"/>
                <w:lang w:val="el-GR"/>
              </w:rPr>
              <w:t xml:space="preserve">) και με την παραδοχή της ομοιόμορφης κατανομής των θανάτων, πιθανότητες και ασφαλίσεις που εξαρτώνται </w:t>
            </w:r>
            <w:r w:rsidR="004041EB" w:rsidRPr="00040D81">
              <w:rPr>
                <w:rFonts w:asciiTheme="minorHAnsi" w:hAnsiTheme="minorHAnsi" w:cstheme="minorHAnsi"/>
                <w:lang w:val="el-GR"/>
              </w:rPr>
              <w:t xml:space="preserve">από τη σειρά των θανάτων, </w:t>
            </w:r>
            <w:proofErr w:type="spellStart"/>
            <w:r w:rsidR="004041EB" w:rsidRPr="00040D81">
              <w:rPr>
                <w:rFonts w:asciiTheme="minorHAnsi" w:hAnsiTheme="minorHAnsi" w:cstheme="minorHAnsi"/>
                <w:lang w:val="el-GR"/>
              </w:rPr>
              <w:t>κληρο</w:t>
            </w:r>
            <w:r w:rsidR="00661348" w:rsidRPr="00040D81">
              <w:rPr>
                <w:rFonts w:asciiTheme="minorHAnsi" w:hAnsiTheme="minorHAnsi" w:cstheme="minorHAnsi"/>
                <w:lang w:val="el-GR"/>
              </w:rPr>
              <w:t>δοτικές</w:t>
            </w:r>
            <w:proofErr w:type="spellEnd"/>
            <w:r w:rsidR="00661348" w:rsidRPr="00040D81">
              <w:rPr>
                <w:rFonts w:asciiTheme="minorHAnsi" w:hAnsiTheme="minorHAnsi" w:cstheme="minorHAnsi"/>
                <w:lang w:val="el-GR"/>
              </w:rPr>
              <w:t xml:space="preserve"> ράντες, πολλαπλές ζωές και σύνθετες καταστάσεις. </w:t>
            </w:r>
          </w:p>
          <w:p w14:paraId="1D2ACD8E" w14:textId="77777777" w:rsidR="002E35E2" w:rsidRPr="00040D81" w:rsidRDefault="002E35E2" w:rsidP="00661348">
            <w:pPr>
              <w:jc w:val="both"/>
              <w:rPr>
                <w:rFonts w:asciiTheme="minorHAnsi" w:hAnsiTheme="minorHAnsi" w:cstheme="minorHAnsi"/>
                <w:lang w:val="el-GR"/>
              </w:rPr>
            </w:pPr>
          </w:p>
          <w:p w14:paraId="0E1C9003" w14:textId="61B0C2C9" w:rsidR="000F4FD4" w:rsidRDefault="00661348" w:rsidP="00661348">
            <w:pPr>
              <w:jc w:val="both"/>
              <w:rPr>
                <w:rFonts w:asciiTheme="minorHAnsi" w:hAnsiTheme="minorHAnsi" w:cstheme="minorHAnsi"/>
                <w:lang w:val="el-GR"/>
              </w:rPr>
            </w:pPr>
            <w:r w:rsidRPr="00040D81">
              <w:rPr>
                <w:rFonts w:asciiTheme="minorHAnsi" w:hAnsiTheme="minorHAnsi" w:cstheme="minorHAnsi"/>
                <w:b/>
                <w:lang w:val="el-GR"/>
              </w:rPr>
              <w:t xml:space="preserve">Μοντέλα </w:t>
            </w:r>
            <w:r w:rsidR="004041EB" w:rsidRPr="00040D81">
              <w:rPr>
                <w:rFonts w:asciiTheme="minorHAnsi" w:hAnsiTheme="minorHAnsi" w:cstheme="minorHAnsi"/>
                <w:b/>
                <w:lang w:val="el-GR"/>
              </w:rPr>
              <w:t xml:space="preserve">ασφαλίσεων </w:t>
            </w:r>
            <w:r w:rsidRPr="00040D81">
              <w:rPr>
                <w:rFonts w:asciiTheme="minorHAnsi" w:hAnsiTheme="minorHAnsi" w:cstheme="minorHAnsi"/>
                <w:b/>
                <w:lang w:val="el-GR"/>
              </w:rPr>
              <w:t>με πολλαπλά αίτια εξόδου</w:t>
            </w:r>
            <w:r w:rsidR="004041EB" w:rsidRPr="00040D81">
              <w:rPr>
                <w:rFonts w:asciiTheme="minorHAnsi" w:hAnsiTheme="minorHAnsi" w:cstheme="minorHAnsi"/>
                <w:b/>
                <w:lang w:val="el-GR"/>
              </w:rPr>
              <w:t>:</w:t>
            </w:r>
            <w:r w:rsidR="004041EB" w:rsidRPr="00040D81">
              <w:rPr>
                <w:rFonts w:asciiTheme="minorHAnsi" w:hAnsiTheme="minorHAnsi" w:cstheme="minorHAnsi"/>
                <w:lang w:val="el-GR"/>
              </w:rPr>
              <w:t xml:space="preserve"> Π</w:t>
            </w:r>
            <w:r w:rsidRPr="00040D81">
              <w:rPr>
                <w:rFonts w:asciiTheme="minorHAnsi" w:hAnsiTheme="minorHAnsi" w:cstheme="minorHAnsi"/>
                <w:lang w:val="el-GR"/>
              </w:rPr>
              <w:t xml:space="preserve">ιθανότητα εξόδου, ένταση εξόδου και μέση ένταση εξόδου για κάθε αίτιο, καθαρή πιθανότητα εξόδου για κάθε αίτιο εξόδου, συναφείς πίνακες με ένα μοναδικό αίτιο εξόδου, σταθερή ένταση </w:t>
            </w:r>
            <w:r w:rsidRPr="00040D81">
              <w:rPr>
                <w:rFonts w:asciiTheme="minorHAnsi" w:hAnsiTheme="minorHAnsi" w:cstheme="minorHAnsi"/>
                <w:lang w:val="el-GR"/>
              </w:rPr>
              <w:lastRenderedPageBreak/>
              <w:t>εξόδου για κάθε αίτιο εξόδου, ομοιόμορφη κατανομή θανάτων για κάθε αίτιο εξόδου, κατασκευή πολλα</w:t>
            </w:r>
            <w:r w:rsidR="004041EB" w:rsidRPr="00040D81">
              <w:rPr>
                <w:rFonts w:asciiTheme="minorHAnsi" w:hAnsiTheme="minorHAnsi" w:cstheme="minorHAnsi"/>
                <w:lang w:val="el-GR"/>
              </w:rPr>
              <w:t>πλού πίνακα από απλούς πίνακες, εφαρμογές.</w:t>
            </w:r>
          </w:p>
          <w:p w14:paraId="0063C6A8" w14:textId="77777777" w:rsidR="000F4FD4" w:rsidRPr="009F391A" w:rsidRDefault="000F4FD4" w:rsidP="007673F3">
            <w:pPr>
              <w:rPr>
                <w:rFonts w:ascii="Calibri" w:hAnsi="Calibri" w:cs="Arial"/>
                <w:color w:val="FF0000"/>
                <w:sz w:val="20"/>
                <w:szCs w:val="20"/>
                <w:lang w:val="el-GR"/>
              </w:rPr>
            </w:pPr>
          </w:p>
        </w:tc>
      </w:tr>
    </w:tbl>
    <w:p w14:paraId="4AA10C23" w14:textId="77777777" w:rsidR="00271F7D" w:rsidRPr="004041EB" w:rsidRDefault="00271F7D" w:rsidP="008E6AB4">
      <w:pPr>
        <w:widowControl w:val="0"/>
        <w:autoSpaceDE w:val="0"/>
        <w:autoSpaceDN w:val="0"/>
        <w:adjustRightInd w:val="0"/>
        <w:spacing w:line="276" w:lineRule="auto"/>
        <w:ind w:left="357"/>
        <w:rPr>
          <w:rFonts w:ascii="Calibri" w:hAnsi="Calibri" w:cs="Arial"/>
          <w:b/>
          <w:color w:val="000000"/>
          <w:sz w:val="22"/>
          <w:szCs w:val="22"/>
          <w:lang w:val="el-GR"/>
        </w:rPr>
      </w:pPr>
    </w:p>
    <w:p w14:paraId="1533270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AB6161" w14:paraId="1CD3532F" w14:textId="77777777" w:rsidTr="007673F3">
        <w:tc>
          <w:tcPr>
            <w:tcW w:w="3306" w:type="dxa"/>
            <w:shd w:val="clear" w:color="auto" w:fill="DDD9C3" w:themeFill="background2" w:themeFillShade="E6"/>
          </w:tcPr>
          <w:p w14:paraId="666DCE4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D8F483F" w14:textId="4E9D85BB" w:rsidR="000F4FD4" w:rsidRPr="00040D81" w:rsidRDefault="008E6AB4" w:rsidP="007673F3">
            <w:pPr>
              <w:spacing w:after="200" w:line="276" w:lineRule="auto"/>
              <w:rPr>
                <w:rFonts w:ascii="Calibri" w:eastAsia="Calibri" w:hAnsi="Calibri"/>
                <w:iCs/>
                <w:lang w:val="el-GR"/>
              </w:rPr>
            </w:pPr>
            <w:r>
              <w:rPr>
                <w:rFonts w:ascii="Calibri" w:eastAsia="Calibri" w:hAnsi="Calibri"/>
                <w:iCs/>
                <w:color w:val="002060"/>
                <w:lang w:val="el-GR"/>
              </w:rPr>
              <w:t>Στην τάξη (Πρόσωπο με Πρόσωπο)</w:t>
            </w:r>
          </w:p>
        </w:tc>
      </w:tr>
      <w:tr w:rsidR="000F4FD4" w:rsidRPr="00AB6161" w14:paraId="79DBA046" w14:textId="77777777" w:rsidTr="007673F3">
        <w:tc>
          <w:tcPr>
            <w:tcW w:w="3306" w:type="dxa"/>
            <w:shd w:val="clear" w:color="auto" w:fill="DDD9C3" w:themeFill="background2" w:themeFillShade="E6"/>
          </w:tcPr>
          <w:p w14:paraId="722AF1B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25EF967" w14:textId="77777777" w:rsidR="008E6AB4" w:rsidRPr="00957F90" w:rsidRDefault="008E6AB4" w:rsidP="008E6AB4">
            <w:pPr>
              <w:rPr>
                <w:rFonts w:ascii="Calibri" w:hAnsi="Calibri" w:cs="Arial"/>
                <w:bCs/>
                <w:color w:val="002060"/>
                <w:sz w:val="20"/>
                <w:szCs w:val="20"/>
                <w:lang w:val="el-GR"/>
              </w:rPr>
            </w:pPr>
            <w:r w:rsidRPr="00957F90">
              <w:rPr>
                <w:rFonts w:ascii="Calibri" w:hAnsi="Calibri" w:cs="Arial"/>
                <w:bCs/>
                <w:color w:val="002060"/>
                <w:sz w:val="20"/>
                <w:szCs w:val="20"/>
                <w:lang w:val="el-GR"/>
              </w:rPr>
              <w:t>Υποστήριξη Μαθησιακής διαδικασίας μέσω της ηλεκτρονικής πλατφόρμας e-</w:t>
            </w:r>
            <w:proofErr w:type="spellStart"/>
            <w:r w:rsidRPr="00957F90">
              <w:rPr>
                <w:rFonts w:ascii="Calibri" w:hAnsi="Calibri" w:cs="Arial"/>
                <w:bCs/>
                <w:color w:val="002060"/>
                <w:sz w:val="20"/>
                <w:szCs w:val="20"/>
                <w:lang w:val="el-GR"/>
              </w:rPr>
              <w:t>class</w:t>
            </w:r>
            <w:proofErr w:type="spellEnd"/>
          </w:p>
          <w:p w14:paraId="4092E9DE" w14:textId="77777777" w:rsidR="008E6AB4" w:rsidRPr="00957F90" w:rsidRDefault="008E6AB4" w:rsidP="008E6AB4">
            <w:pPr>
              <w:rPr>
                <w:rFonts w:ascii="Calibri" w:hAnsi="Calibri" w:cs="Arial"/>
                <w:bCs/>
                <w:color w:val="002060"/>
                <w:sz w:val="20"/>
                <w:szCs w:val="20"/>
                <w:lang w:val="el-GR"/>
              </w:rPr>
            </w:pPr>
            <w:r w:rsidRPr="00957F90">
              <w:rPr>
                <w:rFonts w:ascii="Calibri" w:hAnsi="Calibri" w:cs="Arial"/>
                <w:bCs/>
                <w:color w:val="002060"/>
                <w:sz w:val="20"/>
                <w:szCs w:val="20"/>
              </w:rPr>
              <w:t>Power</w:t>
            </w:r>
            <w:r w:rsidRPr="00957F90">
              <w:rPr>
                <w:rFonts w:ascii="Calibri" w:hAnsi="Calibri" w:cs="Arial"/>
                <w:bCs/>
                <w:color w:val="002060"/>
                <w:sz w:val="20"/>
                <w:szCs w:val="20"/>
                <w:lang w:val="el-GR"/>
              </w:rPr>
              <w:t xml:space="preserve"> </w:t>
            </w:r>
            <w:r w:rsidRPr="00957F90">
              <w:rPr>
                <w:rFonts w:ascii="Calibri" w:hAnsi="Calibri" w:cs="Arial"/>
                <w:bCs/>
                <w:color w:val="002060"/>
                <w:sz w:val="20"/>
                <w:szCs w:val="20"/>
              </w:rPr>
              <w:t>point</w:t>
            </w:r>
            <w:r w:rsidRPr="00957F90">
              <w:rPr>
                <w:rFonts w:ascii="Calibri" w:hAnsi="Calibri" w:cs="Arial"/>
                <w:bCs/>
                <w:color w:val="002060"/>
                <w:sz w:val="20"/>
                <w:szCs w:val="20"/>
                <w:lang w:val="el-GR"/>
              </w:rPr>
              <w:t xml:space="preserve"> παρουσιάσεις</w:t>
            </w:r>
          </w:p>
          <w:p w14:paraId="72BDE3DE" w14:textId="5F22B074" w:rsidR="00DF0508" w:rsidRPr="00040D81" w:rsidRDefault="008E6AB4" w:rsidP="008E6AB4">
            <w:pPr>
              <w:rPr>
                <w:rFonts w:ascii="Calibri" w:hAnsi="Calibri" w:cs="Arial"/>
                <w:b/>
                <w:sz w:val="20"/>
                <w:szCs w:val="20"/>
                <w:lang w:val="el-GR"/>
              </w:rPr>
            </w:pPr>
            <w:r w:rsidRPr="00957F90">
              <w:rPr>
                <w:rFonts w:ascii="Calibri" w:hAnsi="Calibri" w:cs="Arial"/>
                <w:bCs/>
                <w:color w:val="002060"/>
                <w:sz w:val="20"/>
                <w:szCs w:val="20"/>
                <w:lang w:val="el-GR"/>
              </w:rPr>
              <w:t>Ηλεκτρονική επικοινωνία με φοιτητές</w:t>
            </w:r>
          </w:p>
        </w:tc>
      </w:tr>
      <w:tr w:rsidR="000F4FD4" w:rsidRPr="00705AAD" w14:paraId="686BC8ED" w14:textId="77777777" w:rsidTr="007673F3">
        <w:tc>
          <w:tcPr>
            <w:tcW w:w="3306" w:type="dxa"/>
            <w:shd w:val="clear" w:color="auto" w:fill="DDD9C3" w:themeFill="background2" w:themeFillShade="E6"/>
          </w:tcPr>
          <w:p w14:paraId="79A09B8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17BA53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F7E361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7ED63D9" w14:textId="77777777" w:rsidR="000F4FD4" w:rsidRPr="00705AAD" w:rsidRDefault="000F4FD4" w:rsidP="007673F3">
            <w:pPr>
              <w:jc w:val="both"/>
              <w:rPr>
                <w:rFonts w:ascii="Calibri" w:hAnsi="Calibri" w:cs="Arial"/>
                <w:i/>
                <w:sz w:val="16"/>
                <w:szCs w:val="16"/>
                <w:lang w:val="el-GR"/>
              </w:rPr>
            </w:pPr>
          </w:p>
          <w:p w14:paraId="791C59B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40D81" w:rsidRPr="00040D81" w14:paraId="358632E9" w14:textId="77777777" w:rsidTr="007673F3">
              <w:tc>
                <w:tcPr>
                  <w:tcW w:w="2467" w:type="dxa"/>
                  <w:shd w:val="clear" w:color="auto" w:fill="DDD9C3" w:themeFill="background2" w:themeFillShade="E6"/>
                  <w:vAlign w:val="center"/>
                </w:tcPr>
                <w:p w14:paraId="4FAAB22C" w14:textId="77777777" w:rsidR="000F4FD4" w:rsidRPr="00040D81" w:rsidRDefault="000F4FD4" w:rsidP="007673F3">
                  <w:pPr>
                    <w:jc w:val="center"/>
                    <w:rPr>
                      <w:rFonts w:ascii="Calibri" w:hAnsi="Calibri" w:cs="Arial"/>
                      <w:b/>
                      <w:i/>
                      <w:sz w:val="20"/>
                      <w:szCs w:val="20"/>
                    </w:rPr>
                  </w:pPr>
                  <w:proofErr w:type="spellStart"/>
                  <w:r w:rsidRPr="00040D81">
                    <w:rPr>
                      <w:rFonts w:ascii="Calibri" w:hAnsi="Calibri" w:cs="Arial"/>
                      <w:b/>
                      <w:i/>
                      <w:sz w:val="20"/>
                      <w:szCs w:val="20"/>
                    </w:rPr>
                    <w:t>Δρ</w:t>
                  </w:r>
                  <w:proofErr w:type="spellEnd"/>
                  <w:r w:rsidRPr="00040D81">
                    <w:rPr>
                      <w:rFonts w:ascii="Calibri" w:hAnsi="Calibri" w:cs="Arial"/>
                      <w:b/>
                      <w:i/>
                      <w:sz w:val="20"/>
                      <w:szCs w:val="20"/>
                    </w:rPr>
                    <w:t>αστηριότητα</w:t>
                  </w:r>
                </w:p>
              </w:tc>
              <w:tc>
                <w:tcPr>
                  <w:tcW w:w="2468" w:type="dxa"/>
                  <w:shd w:val="clear" w:color="auto" w:fill="DDD9C3" w:themeFill="background2" w:themeFillShade="E6"/>
                  <w:vAlign w:val="center"/>
                </w:tcPr>
                <w:p w14:paraId="62822304" w14:textId="77777777" w:rsidR="000F4FD4" w:rsidRPr="00040D81" w:rsidRDefault="000F4FD4" w:rsidP="007673F3">
                  <w:pPr>
                    <w:jc w:val="center"/>
                    <w:rPr>
                      <w:rFonts w:ascii="Calibri" w:hAnsi="Calibri" w:cs="Arial"/>
                      <w:b/>
                      <w:i/>
                      <w:sz w:val="20"/>
                      <w:szCs w:val="20"/>
                    </w:rPr>
                  </w:pPr>
                  <w:proofErr w:type="spellStart"/>
                  <w:r w:rsidRPr="00040D81">
                    <w:rPr>
                      <w:rFonts w:ascii="Calibri" w:hAnsi="Calibri" w:cs="Arial"/>
                      <w:b/>
                      <w:i/>
                      <w:sz w:val="20"/>
                      <w:szCs w:val="20"/>
                    </w:rPr>
                    <w:t>Φόρτος</w:t>
                  </w:r>
                  <w:proofErr w:type="spellEnd"/>
                  <w:r w:rsidRPr="00040D81">
                    <w:rPr>
                      <w:rFonts w:ascii="Calibri" w:hAnsi="Calibri" w:cs="Arial"/>
                      <w:b/>
                      <w:i/>
                      <w:sz w:val="20"/>
                      <w:szCs w:val="20"/>
                    </w:rPr>
                    <w:t xml:space="preserve"> </w:t>
                  </w:r>
                  <w:proofErr w:type="spellStart"/>
                  <w:r w:rsidRPr="00040D81">
                    <w:rPr>
                      <w:rFonts w:ascii="Calibri" w:hAnsi="Calibri" w:cs="Arial"/>
                      <w:b/>
                      <w:i/>
                      <w:sz w:val="20"/>
                      <w:szCs w:val="20"/>
                    </w:rPr>
                    <w:t>Εργ</w:t>
                  </w:r>
                  <w:proofErr w:type="spellEnd"/>
                  <w:r w:rsidRPr="00040D81">
                    <w:rPr>
                      <w:rFonts w:ascii="Calibri" w:hAnsi="Calibri" w:cs="Arial"/>
                      <w:b/>
                      <w:i/>
                      <w:sz w:val="20"/>
                      <w:szCs w:val="20"/>
                    </w:rPr>
                    <w:t xml:space="preserve">ασίας </w:t>
                  </w:r>
                  <w:proofErr w:type="spellStart"/>
                  <w:r w:rsidRPr="00040D81">
                    <w:rPr>
                      <w:rFonts w:ascii="Calibri" w:hAnsi="Calibri" w:cs="Arial"/>
                      <w:b/>
                      <w:i/>
                      <w:sz w:val="20"/>
                      <w:szCs w:val="20"/>
                    </w:rPr>
                    <w:t>Εξ</w:t>
                  </w:r>
                  <w:proofErr w:type="spellEnd"/>
                  <w:r w:rsidRPr="00040D81">
                    <w:rPr>
                      <w:rFonts w:ascii="Calibri" w:hAnsi="Calibri" w:cs="Arial"/>
                      <w:b/>
                      <w:i/>
                      <w:sz w:val="20"/>
                      <w:szCs w:val="20"/>
                    </w:rPr>
                    <w:t>αμήνου</w:t>
                  </w:r>
                </w:p>
              </w:tc>
            </w:tr>
            <w:tr w:rsidR="00040D81" w:rsidRPr="00040D81" w14:paraId="0DEFAE63" w14:textId="77777777" w:rsidTr="007673F3">
              <w:tc>
                <w:tcPr>
                  <w:tcW w:w="2467" w:type="dxa"/>
                </w:tcPr>
                <w:p w14:paraId="785BE20B" w14:textId="77777777" w:rsidR="000F4FD4" w:rsidRPr="00040D81" w:rsidRDefault="00224E97" w:rsidP="007673F3">
                  <w:pPr>
                    <w:rPr>
                      <w:rFonts w:ascii="Calibri" w:hAnsi="Calibri"/>
                      <w:iCs/>
                      <w:sz w:val="22"/>
                      <w:szCs w:val="22"/>
                      <w:lang w:val="el-GR"/>
                    </w:rPr>
                  </w:pPr>
                  <w:r w:rsidRPr="00040D81">
                    <w:rPr>
                      <w:rFonts w:ascii="Calibri" w:hAnsi="Calibri"/>
                      <w:iCs/>
                      <w:sz w:val="22"/>
                      <w:szCs w:val="22"/>
                      <w:lang w:val="el-GR"/>
                    </w:rPr>
                    <w:t>Διαλέξεις</w:t>
                  </w:r>
                </w:p>
              </w:tc>
              <w:tc>
                <w:tcPr>
                  <w:tcW w:w="2468" w:type="dxa"/>
                </w:tcPr>
                <w:p w14:paraId="77FBB22F" w14:textId="42B7B527" w:rsidR="000F4FD4" w:rsidRPr="00040D81" w:rsidRDefault="008E6AB4" w:rsidP="007673F3">
                  <w:pPr>
                    <w:jc w:val="center"/>
                    <w:rPr>
                      <w:rFonts w:ascii="Calibri" w:hAnsi="Calibri" w:cs="Arial"/>
                      <w:sz w:val="20"/>
                      <w:szCs w:val="20"/>
                      <w:lang w:val="el-GR"/>
                    </w:rPr>
                  </w:pPr>
                  <w:r>
                    <w:rPr>
                      <w:rFonts w:ascii="Calibri" w:hAnsi="Calibri" w:cs="Arial"/>
                      <w:sz w:val="20"/>
                      <w:szCs w:val="20"/>
                      <w:lang w:val="el-GR"/>
                    </w:rPr>
                    <w:t>52</w:t>
                  </w:r>
                </w:p>
              </w:tc>
            </w:tr>
            <w:tr w:rsidR="00040D81" w:rsidRPr="00040D81" w14:paraId="5DD9D539" w14:textId="77777777" w:rsidTr="007673F3">
              <w:tc>
                <w:tcPr>
                  <w:tcW w:w="2467" w:type="dxa"/>
                  <w:shd w:val="clear" w:color="auto" w:fill="auto"/>
                </w:tcPr>
                <w:p w14:paraId="3F01C270" w14:textId="10F0735E" w:rsidR="000F4FD4" w:rsidRPr="00040D81" w:rsidRDefault="008E6AB4" w:rsidP="007673F3">
                  <w:pPr>
                    <w:rPr>
                      <w:rFonts w:ascii="Calibri" w:hAnsi="Calibri"/>
                      <w:iCs/>
                      <w:sz w:val="22"/>
                      <w:szCs w:val="22"/>
                      <w:lang w:val="el-GR"/>
                    </w:rPr>
                  </w:pPr>
                  <w:r>
                    <w:rPr>
                      <w:rFonts w:ascii="Calibri" w:hAnsi="Calibri"/>
                      <w:iCs/>
                      <w:color w:val="002060"/>
                      <w:sz w:val="22"/>
                      <w:szCs w:val="22"/>
                      <w:lang w:val="el-GR"/>
                    </w:rPr>
                    <w:t>Αυτοτελής Μελέτη</w:t>
                  </w:r>
                </w:p>
              </w:tc>
              <w:tc>
                <w:tcPr>
                  <w:tcW w:w="2468" w:type="dxa"/>
                </w:tcPr>
                <w:p w14:paraId="418D1E8D" w14:textId="07F6108D" w:rsidR="000F4FD4" w:rsidRPr="00040D81" w:rsidRDefault="008E6AB4" w:rsidP="007673F3">
                  <w:pPr>
                    <w:jc w:val="center"/>
                    <w:rPr>
                      <w:rFonts w:ascii="Calibri" w:hAnsi="Calibri" w:cs="Arial"/>
                      <w:sz w:val="20"/>
                      <w:szCs w:val="20"/>
                      <w:lang w:val="el-GR"/>
                    </w:rPr>
                  </w:pPr>
                  <w:r>
                    <w:rPr>
                      <w:rFonts w:ascii="Calibri" w:hAnsi="Calibri" w:cs="Arial"/>
                      <w:sz w:val="20"/>
                      <w:szCs w:val="20"/>
                      <w:lang w:val="el-GR"/>
                    </w:rPr>
                    <w:t>98</w:t>
                  </w:r>
                </w:p>
              </w:tc>
            </w:tr>
            <w:tr w:rsidR="00040D81" w:rsidRPr="00040D81" w14:paraId="1A59A0E1" w14:textId="77777777" w:rsidTr="007673F3">
              <w:tc>
                <w:tcPr>
                  <w:tcW w:w="2467" w:type="dxa"/>
                  <w:shd w:val="clear" w:color="auto" w:fill="auto"/>
                </w:tcPr>
                <w:p w14:paraId="08D5C8EC" w14:textId="77777777" w:rsidR="000F4FD4" w:rsidRPr="00040D81" w:rsidRDefault="000F4FD4" w:rsidP="007673F3">
                  <w:pPr>
                    <w:rPr>
                      <w:rFonts w:ascii="Calibri" w:hAnsi="Calibri"/>
                      <w:iCs/>
                      <w:sz w:val="22"/>
                      <w:szCs w:val="22"/>
                      <w:lang w:val="el-GR"/>
                    </w:rPr>
                  </w:pPr>
                </w:p>
              </w:tc>
              <w:tc>
                <w:tcPr>
                  <w:tcW w:w="2468" w:type="dxa"/>
                </w:tcPr>
                <w:p w14:paraId="0C89B7B7" w14:textId="77777777" w:rsidR="000F4FD4" w:rsidRPr="00040D81" w:rsidRDefault="000F4FD4" w:rsidP="007673F3">
                  <w:pPr>
                    <w:jc w:val="center"/>
                    <w:rPr>
                      <w:rFonts w:ascii="Calibri" w:hAnsi="Calibri" w:cs="Arial"/>
                      <w:sz w:val="20"/>
                      <w:szCs w:val="20"/>
                      <w:lang w:val="el-GR"/>
                    </w:rPr>
                  </w:pPr>
                </w:p>
              </w:tc>
            </w:tr>
            <w:tr w:rsidR="00040D81" w:rsidRPr="00040D81" w14:paraId="13786A68" w14:textId="77777777" w:rsidTr="007673F3">
              <w:tc>
                <w:tcPr>
                  <w:tcW w:w="2467" w:type="dxa"/>
                  <w:shd w:val="clear" w:color="auto" w:fill="auto"/>
                </w:tcPr>
                <w:p w14:paraId="7B7D9075" w14:textId="77777777" w:rsidR="000F4FD4" w:rsidRPr="00040D81" w:rsidRDefault="000F4FD4" w:rsidP="007673F3">
                  <w:pPr>
                    <w:rPr>
                      <w:rFonts w:ascii="Calibri" w:hAnsi="Calibri"/>
                      <w:iCs/>
                      <w:sz w:val="22"/>
                      <w:szCs w:val="22"/>
                    </w:rPr>
                  </w:pPr>
                </w:p>
              </w:tc>
              <w:tc>
                <w:tcPr>
                  <w:tcW w:w="2468" w:type="dxa"/>
                </w:tcPr>
                <w:p w14:paraId="1B1BC59A" w14:textId="77777777" w:rsidR="000F4FD4" w:rsidRPr="00040D81" w:rsidRDefault="000F4FD4" w:rsidP="007673F3">
                  <w:pPr>
                    <w:jc w:val="center"/>
                    <w:rPr>
                      <w:rFonts w:ascii="Calibri" w:hAnsi="Calibri" w:cs="Arial"/>
                      <w:sz w:val="20"/>
                      <w:szCs w:val="20"/>
                      <w:lang w:val="el-GR"/>
                    </w:rPr>
                  </w:pPr>
                </w:p>
              </w:tc>
            </w:tr>
            <w:tr w:rsidR="00040D81" w:rsidRPr="00040D81" w14:paraId="452A8660" w14:textId="77777777" w:rsidTr="007673F3">
              <w:tc>
                <w:tcPr>
                  <w:tcW w:w="2467" w:type="dxa"/>
                  <w:shd w:val="clear" w:color="auto" w:fill="auto"/>
                </w:tcPr>
                <w:p w14:paraId="0D96D9DF" w14:textId="77777777" w:rsidR="000F4FD4" w:rsidRPr="00040D81" w:rsidRDefault="000F4FD4" w:rsidP="007673F3">
                  <w:pPr>
                    <w:rPr>
                      <w:rFonts w:ascii="Calibri" w:hAnsi="Calibri"/>
                      <w:iCs/>
                      <w:sz w:val="22"/>
                      <w:szCs w:val="22"/>
                      <w:lang w:val="el-GR"/>
                    </w:rPr>
                  </w:pPr>
                </w:p>
              </w:tc>
              <w:tc>
                <w:tcPr>
                  <w:tcW w:w="2468" w:type="dxa"/>
                </w:tcPr>
                <w:p w14:paraId="6F30FB6D" w14:textId="77777777" w:rsidR="000F4FD4" w:rsidRPr="00040D81" w:rsidRDefault="000F4FD4" w:rsidP="007673F3">
                  <w:pPr>
                    <w:jc w:val="center"/>
                    <w:rPr>
                      <w:rFonts w:ascii="Calibri" w:hAnsi="Calibri" w:cs="Arial"/>
                      <w:sz w:val="20"/>
                      <w:szCs w:val="20"/>
                      <w:lang w:val="el-GR"/>
                    </w:rPr>
                  </w:pPr>
                </w:p>
              </w:tc>
            </w:tr>
            <w:tr w:rsidR="00040D81" w:rsidRPr="00040D81" w14:paraId="3DFB8FDD" w14:textId="77777777" w:rsidTr="007673F3">
              <w:tc>
                <w:tcPr>
                  <w:tcW w:w="2467" w:type="dxa"/>
                  <w:shd w:val="clear" w:color="auto" w:fill="auto"/>
                </w:tcPr>
                <w:p w14:paraId="0B71DB6F" w14:textId="77777777" w:rsidR="000F4FD4" w:rsidRPr="00040D81" w:rsidRDefault="000F4FD4" w:rsidP="007673F3">
                  <w:pPr>
                    <w:rPr>
                      <w:rFonts w:ascii="Calibri" w:hAnsi="Calibri"/>
                      <w:iCs/>
                      <w:sz w:val="22"/>
                      <w:szCs w:val="22"/>
                    </w:rPr>
                  </w:pPr>
                </w:p>
              </w:tc>
              <w:tc>
                <w:tcPr>
                  <w:tcW w:w="2468" w:type="dxa"/>
                </w:tcPr>
                <w:p w14:paraId="29FBDA89" w14:textId="77777777" w:rsidR="000F4FD4" w:rsidRPr="00040D81" w:rsidRDefault="000F4FD4" w:rsidP="007673F3">
                  <w:pPr>
                    <w:rPr>
                      <w:rFonts w:ascii="Calibri" w:hAnsi="Calibri" w:cs="Arial"/>
                      <w:i/>
                      <w:sz w:val="16"/>
                      <w:szCs w:val="16"/>
                      <w:lang w:val="el-GR"/>
                    </w:rPr>
                  </w:pPr>
                </w:p>
              </w:tc>
            </w:tr>
            <w:tr w:rsidR="00040D81" w:rsidRPr="00040D81" w14:paraId="6C155395" w14:textId="77777777" w:rsidTr="007673F3">
              <w:tc>
                <w:tcPr>
                  <w:tcW w:w="2467" w:type="dxa"/>
                  <w:shd w:val="clear" w:color="auto" w:fill="auto"/>
                </w:tcPr>
                <w:p w14:paraId="76CADFCF" w14:textId="77777777" w:rsidR="000F4FD4" w:rsidRPr="00040D81" w:rsidRDefault="000F4FD4" w:rsidP="007673F3">
                  <w:pPr>
                    <w:rPr>
                      <w:rFonts w:ascii="Calibri" w:hAnsi="Calibri"/>
                      <w:iCs/>
                      <w:sz w:val="22"/>
                      <w:szCs w:val="22"/>
                    </w:rPr>
                  </w:pPr>
                </w:p>
              </w:tc>
              <w:tc>
                <w:tcPr>
                  <w:tcW w:w="2468" w:type="dxa"/>
                </w:tcPr>
                <w:p w14:paraId="5FF8EFD3" w14:textId="77777777" w:rsidR="000F4FD4" w:rsidRPr="00040D81" w:rsidRDefault="000F4FD4" w:rsidP="007673F3">
                  <w:pPr>
                    <w:rPr>
                      <w:rFonts w:ascii="Calibri" w:hAnsi="Calibri" w:cs="Arial"/>
                      <w:i/>
                      <w:sz w:val="16"/>
                      <w:szCs w:val="16"/>
                      <w:lang w:val="el-GR"/>
                    </w:rPr>
                  </w:pPr>
                </w:p>
              </w:tc>
            </w:tr>
            <w:tr w:rsidR="00040D81" w:rsidRPr="00040D81" w14:paraId="1AA3BAB4" w14:textId="77777777" w:rsidTr="007673F3">
              <w:tc>
                <w:tcPr>
                  <w:tcW w:w="2467" w:type="dxa"/>
                  <w:shd w:val="clear" w:color="auto" w:fill="auto"/>
                </w:tcPr>
                <w:p w14:paraId="0934647B" w14:textId="77777777" w:rsidR="000F4FD4" w:rsidRPr="00040D81" w:rsidRDefault="000F4FD4" w:rsidP="007673F3">
                  <w:pPr>
                    <w:rPr>
                      <w:rFonts w:ascii="Calibri" w:hAnsi="Calibri"/>
                      <w:iCs/>
                      <w:sz w:val="22"/>
                      <w:szCs w:val="22"/>
                    </w:rPr>
                  </w:pPr>
                </w:p>
              </w:tc>
              <w:tc>
                <w:tcPr>
                  <w:tcW w:w="2468" w:type="dxa"/>
                </w:tcPr>
                <w:p w14:paraId="39FF8525" w14:textId="77777777" w:rsidR="000F4FD4" w:rsidRPr="00040D81" w:rsidRDefault="000F4FD4" w:rsidP="007673F3">
                  <w:pPr>
                    <w:rPr>
                      <w:rFonts w:ascii="Calibri" w:hAnsi="Calibri" w:cs="Arial"/>
                      <w:i/>
                      <w:sz w:val="16"/>
                      <w:szCs w:val="16"/>
                      <w:lang w:val="el-GR"/>
                    </w:rPr>
                  </w:pPr>
                </w:p>
              </w:tc>
            </w:tr>
            <w:tr w:rsidR="00040D81" w:rsidRPr="00040D81" w14:paraId="21B686F9" w14:textId="77777777" w:rsidTr="007673F3">
              <w:tc>
                <w:tcPr>
                  <w:tcW w:w="2467" w:type="dxa"/>
                  <w:shd w:val="clear" w:color="auto" w:fill="auto"/>
                </w:tcPr>
                <w:p w14:paraId="163E5233" w14:textId="77777777" w:rsidR="000F4FD4" w:rsidRPr="00040D81" w:rsidRDefault="000F4FD4" w:rsidP="007673F3">
                  <w:pPr>
                    <w:rPr>
                      <w:rFonts w:ascii="Calibri" w:hAnsi="Calibri"/>
                      <w:iCs/>
                      <w:sz w:val="22"/>
                      <w:szCs w:val="22"/>
                      <w:lang w:val="el-GR"/>
                    </w:rPr>
                  </w:pPr>
                </w:p>
              </w:tc>
              <w:tc>
                <w:tcPr>
                  <w:tcW w:w="2468" w:type="dxa"/>
                </w:tcPr>
                <w:p w14:paraId="6FE43AF4" w14:textId="77777777" w:rsidR="000F4FD4" w:rsidRPr="00040D81" w:rsidRDefault="000F4FD4" w:rsidP="007673F3">
                  <w:pPr>
                    <w:jc w:val="center"/>
                    <w:rPr>
                      <w:rFonts w:ascii="Calibri" w:hAnsi="Calibri" w:cs="Arial"/>
                      <w:sz w:val="20"/>
                      <w:szCs w:val="20"/>
                      <w:lang w:val="el-GR"/>
                    </w:rPr>
                  </w:pPr>
                </w:p>
              </w:tc>
            </w:tr>
            <w:tr w:rsidR="00040D81" w:rsidRPr="00040D81" w14:paraId="2961086F" w14:textId="77777777" w:rsidTr="007673F3">
              <w:tc>
                <w:tcPr>
                  <w:tcW w:w="2467" w:type="dxa"/>
                </w:tcPr>
                <w:p w14:paraId="7264BA52" w14:textId="77777777" w:rsidR="000F4FD4" w:rsidRPr="00040D81" w:rsidRDefault="000F4FD4" w:rsidP="007673F3">
                  <w:pPr>
                    <w:rPr>
                      <w:rFonts w:ascii="Calibri" w:hAnsi="Calibri"/>
                      <w:iCs/>
                      <w:sz w:val="22"/>
                      <w:szCs w:val="22"/>
                      <w:lang w:val="el-GR"/>
                    </w:rPr>
                  </w:pPr>
                  <w:r w:rsidRPr="00040D81">
                    <w:rPr>
                      <w:rFonts w:ascii="Calibri" w:hAnsi="Calibri"/>
                      <w:iCs/>
                      <w:sz w:val="22"/>
                      <w:szCs w:val="22"/>
                      <w:lang w:val="el-GR"/>
                    </w:rPr>
                    <w:t>Σύνολο</w:t>
                  </w:r>
                  <w:r w:rsidRPr="00040D81">
                    <w:rPr>
                      <w:rFonts w:ascii="Calibri" w:hAnsi="Calibri"/>
                      <w:iCs/>
                      <w:sz w:val="22"/>
                      <w:szCs w:val="22"/>
                    </w:rPr>
                    <w:t xml:space="preserve"> </w:t>
                  </w:r>
                  <w:r w:rsidRPr="00040D81">
                    <w:rPr>
                      <w:rFonts w:ascii="Calibri" w:hAnsi="Calibri"/>
                      <w:iCs/>
                      <w:sz w:val="22"/>
                      <w:szCs w:val="22"/>
                      <w:lang w:val="el-GR"/>
                    </w:rPr>
                    <w:t>Μαθήματος</w:t>
                  </w:r>
                  <w:r w:rsidRPr="00040D81">
                    <w:rPr>
                      <w:rFonts w:ascii="Calibri" w:hAnsi="Calibri"/>
                      <w:iCs/>
                      <w:sz w:val="22"/>
                      <w:szCs w:val="22"/>
                    </w:rPr>
                    <w:t xml:space="preserve"> </w:t>
                  </w:r>
                </w:p>
              </w:tc>
              <w:tc>
                <w:tcPr>
                  <w:tcW w:w="2468" w:type="dxa"/>
                  <w:vAlign w:val="center"/>
                </w:tcPr>
                <w:p w14:paraId="1D4CE104" w14:textId="77777777" w:rsidR="000F4FD4" w:rsidRPr="008E6AB4" w:rsidRDefault="00E2788E" w:rsidP="007673F3">
                  <w:pPr>
                    <w:jc w:val="center"/>
                    <w:rPr>
                      <w:rFonts w:ascii="Calibri" w:hAnsi="Calibri" w:cs="Arial"/>
                      <w:b/>
                      <w:iCs/>
                      <w:sz w:val="20"/>
                      <w:szCs w:val="20"/>
                      <w:lang w:val="el-GR"/>
                    </w:rPr>
                  </w:pPr>
                  <w:r w:rsidRPr="008E6AB4">
                    <w:rPr>
                      <w:rFonts w:ascii="Calibri" w:hAnsi="Calibri" w:cs="Arial"/>
                      <w:b/>
                      <w:iCs/>
                      <w:sz w:val="20"/>
                      <w:szCs w:val="20"/>
                      <w:lang w:val="el-GR"/>
                    </w:rPr>
                    <w:t>150</w:t>
                  </w:r>
                </w:p>
              </w:tc>
            </w:tr>
          </w:tbl>
          <w:p w14:paraId="0A8D43B9" w14:textId="77777777" w:rsidR="000F4FD4" w:rsidRPr="00040D81" w:rsidRDefault="000F4FD4" w:rsidP="007673F3">
            <w:pPr>
              <w:rPr>
                <w:rFonts w:ascii="Tahoma" w:hAnsi="Tahoma" w:cs="Tahoma"/>
              </w:rPr>
            </w:pPr>
          </w:p>
        </w:tc>
      </w:tr>
      <w:tr w:rsidR="000F4FD4" w:rsidRPr="00AB6161" w14:paraId="4BA757F7" w14:textId="77777777" w:rsidTr="007673F3">
        <w:tc>
          <w:tcPr>
            <w:tcW w:w="3306" w:type="dxa"/>
          </w:tcPr>
          <w:p w14:paraId="0A08193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3BB589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543B435" w14:textId="77777777" w:rsidR="000F4FD4" w:rsidRPr="00705AAD" w:rsidRDefault="000F4FD4" w:rsidP="007673F3">
            <w:pPr>
              <w:jc w:val="both"/>
              <w:rPr>
                <w:rFonts w:ascii="Calibri" w:hAnsi="Calibri" w:cs="Arial"/>
                <w:i/>
                <w:sz w:val="16"/>
                <w:szCs w:val="16"/>
                <w:lang w:val="el-GR"/>
              </w:rPr>
            </w:pPr>
          </w:p>
          <w:p w14:paraId="41655D8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8C2AD48" w14:textId="77777777" w:rsidR="000F4FD4" w:rsidRPr="00705AAD" w:rsidRDefault="000F4FD4" w:rsidP="007673F3">
            <w:pPr>
              <w:jc w:val="both"/>
              <w:rPr>
                <w:rFonts w:ascii="Calibri" w:hAnsi="Calibri" w:cs="Arial"/>
                <w:i/>
                <w:sz w:val="16"/>
                <w:szCs w:val="16"/>
                <w:lang w:val="el-GR"/>
              </w:rPr>
            </w:pPr>
          </w:p>
          <w:p w14:paraId="0F7E92CD"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7B79DCC0" w14:textId="77777777" w:rsidR="00AB6161" w:rsidRPr="00AB6161" w:rsidRDefault="00AB6161" w:rsidP="00AB6161">
            <w:pPr>
              <w:rPr>
                <w:rFonts w:asciiTheme="minorHAnsi" w:hAnsiTheme="minorHAnsi" w:cstheme="minorHAnsi"/>
                <w:color w:val="002060"/>
              </w:rPr>
            </w:pPr>
          </w:p>
          <w:p w14:paraId="77D333CA" w14:textId="39EAB04A" w:rsidR="00AB6161" w:rsidRPr="00AB6161" w:rsidRDefault="00AB6161" w:rsidP="00AB6161">
            <w:pPr>
              <w:rPr>
                <w:rFonts w:asciiTheme="minorHAnsi" w:hAnsiTheme="minorHAnsi" w:cstheme="minorHAnsi"/>
                <w:color w:val="002060"/>
              </w:rPr>
            </w:pPr>
            <w:proofErr w:type="spellStart"/>
            <w:r w:rsidRPr="00AB6161">
              <w:rPr>
                <w:rFonts w:asciiTheme="minorHAnsi" w:hAnsiTheme="minorHAnsi" w:cstheme="minorHAnsi"/>
                <w:color w:val="002060"/>
              </w:rPr>
              <w:t>Γλώσσ</w:t>
            </w:r>
            <w:proofErr w:type="spellEnd"/>
            <w:r w:rsidRPr="00AB6161">
              <w:rPr>
                <w:rFonts w:asciiTheme="minorHAnsi" w:hAnsiTheme="minorHAnsi" w:cstheme="minorHAnsi"/>
                <w:color w:val="002060"/>
              </w:rPr>
              <w:t xml:space="preserve">α </w:t>
            </w:r>
            <w:proofErr w:type="spellStart"/>
            <w:r w:rsidRPr="00AB6161">
              <w:rPr>
                <w:rFonts w:asciiTheme="minorHAnsi" w:hAnsiTheme="minorHAnsi" w:cstheme="minorHAnsi"/>
                <w:color w:val="002060"/>
              </w:rPr>
              <w:t>Αξιολόγησης</w:t>
            </w:r>
            <w:proofErr w:type="spellEnd"/>
            <w:r w:rsidRPr="00AB6161">
              <w:rPr>
                <w:rFonts w:asciiTheme="minorHAnsi" w:hAnsiTheme="minorHAnsi" w:cstheme="minorHAnsi"/>
                <w:color w:val="002060"/>
              </w:rPr>
              <w:t xml:space="preserve">: </w:t>
            </w:r>
            <w:proofErr w:type="spellStart"/>
            <w:r w:rsidRPr="00AB6161">
              <w:rPr>
                <w:rFonts w:asciiTheme="minorHAnsi" w:hAnsiTheme="minorHAnsi" w:cstheme="minorHAnsi"/>
                <w:color w:val="002060"/>
              </w:rPr>
              <w:t>Ελληνική</w:t>
            </w:r>
            <w:proofErr w:type="spellEnd"/>
          </w:p>
          <w:p w14:paraId="5F9525AC" w14:textId="77777777" w:rsidR="00AB6161" w:rsidRPr="00AB6161" w:rsidRDefault="00AB6161" w:rsidP="008E6AB4">
            <w:pPr>
              <w:rPr>
                <w:rFonts w:asciiTheme="minorHAnsi" w:hAnsiTheme="minorHAnsi" w:cstheme="minorHAnsi"/>
                <w:color w:val="002060"/>
                <w:lang w:val="el-GR"/>
              </w:rPr>
            </w:pPr>
          </w:p>
          <w:p w14:paraId="12E7B4F8" w14:textId="77777777" w:rsidR="008E6AB4" w:rsidRPr="00AB6161" w:rsidRDefault="008E6AB4" w:rsidP="008E6AB4">
            <w:pPr>
              <w:pStyle w:val="ListParagraph"/>
              <w:numPr>
                <w:ilvl w:val="0"/>
                <w:numId w:val="50"/>
              </w:numPr>
              <w:ind w:left="357" w:hanging="357"/>
              <w:rPr>
                <w:rFonts w:asciiTheme="minorHAnsi" w:hAnsiTheme="minorHAnsi" w:cstheme="minorHAnsi"/>
                <w:color w:val="002060"/>
                <w:sz w:val="24"/>
                <w:szCs w:val="24"/>
              </w:rPr>
            </w:pPr>
            <w:r w:rsidRPr="00AB6161">
              <w:rPr>
                <w:rFonts w:asciiTheme="minorHAnsi" w:hAnsiTheme="minorHAnsi" w:cstheme="minorHAnsi"/>
                <w:color w:val="002060"/>
                <w:sz w:val="24"/>
                <w:szCs w:val="24"/>
              </w:rPr>
              <w:t>Γραπτή Τελική Εξέταση που περιλαμβάνει:</w:t>
            </w:r>
          </w:p>
          <w:p w14:paraId="5E1649A9" w14:textId="77777777" w:rsidR="008E6AB4" w:rsidRPr="00AB6161" w:rsidRDefault="008E6AB4" w:rsidP="008E6AB4">
            <w:pPr>
              <w:pStyle w:val="ListParagraph"/>
              <w:numPr>
                <w:ilvl w:val="0"/>
                <w:numId w:val="48"/>
              </w:numPr>
              <w:rPr>
                <w:rFonts w:asciiTheme="minorHAnsi" w:hAnsiTheme="minorHAnsi" w:cstheme="minorHAnsi"/>
                <w:color w:val="002060"/>
                <w:sz w:val="24"/>
                <w:szCs w:val="24"/>
              </w:rPr>
            </w:pPr>
            <w:r w:rsidRPr="00AB6161">
              <w:rPr>
                <w:rFonts w:asciiTheme="minorHAnsi" w:hAnsiTheme="minorHAnsi" w:cstheme="minorHAnsi"/>
                <w:color w:val="002060"/>
                <w:sz w:val="24"/>
                <w:szCs w:val="24"/>
              </w:rPr>
              <w:t xml:space="preserve">Ερωτήσεις Πολλαπλής Επιλογής </w:t>
            </w:r>
          </w:p>
          <w:p w14:paraId="1814C1BF" w14:textId="77777777" w:rsidR="008E6AB4" w:rsidRPr="00AB6161" w:rsidRDefault="008E6AB4" w:rsidP="008E6AB4">
            <w:pPr>
              <w:pStyle w:val="ListParagraph"/>
              <w:numPr>
                <w:ilvl w:val="0"/>
                <w:numId w:val="48"/>
              </w:numPr>
              <w:rPr>
                <w:rFonts w:asciiTheme="minorHAnsi" w:hAnsiTheme="minorHAnsi" w:cstheme="minorHAnsi"/>
                <w:color w:val="002060"/>
                <w:sz w:val="24"/>
                <w:szCs w:val="24"/>
              </w:rPr>
            </w:pPr>
            <w:r w:rsidRPr="00AB6161">
              <w:rPr>
                <w:rFonts w:asciiTheme="minorHAnsi" w:hAnsiTheme="minorHAnsi" w:cstheme="minorHAnsi"/>
                <w:color w:val="002060"/>
                <w:sz w:val="24"/>
                <w:szCs w:val="24"/>
              </w:rPr>
              <w:t>Επίλυση Προβλημάτων</w:t>
            </w:r>
          </w:p>
          <w:p w14:paraId="364D8231" w14:textId="478ED33A" w:rsidR="000F4FD4" w:rsidRPr="00AB6161" w:rsidRDefault="008E6AB4" w:rsidP="007673F3">
            <w:pPr>
              <w:pStyle w:val="ListParagraph"/>
              <w:numPr>
                <w:ilvl w:val="0"/>
                <w:numId w:val="49"/>
              </w:numPr>
              <w:ind w:left="357" w:hanging="357"/>
              <w:rPr>
                <w:rFonts w:asciiTheme="minorHAnsi" w:hAnsiTheme="minorHAnsi" w:cstheme="minorHAnsi"/>
                <w:color w:val="002060"/>
                <w:sz w:val="24"/>
                <w:szCs w:val="24"/>
              </w:rPr>
            </w:pPr>
            <w:r w:rsidRPr="00AB6161">
              <w:rPr>
                <w:rFonts w:asciiTheme="minorHAnsi" w:hAnsiTheme="minorHAnsi" w:cstheme="minorHAnsi"/>
                <w:color w:val="002060"/>
                <w:sz w:val="24"/>
                <w:szCs w:val="24"/>
              </w:rPr>
              <w:t>Προφορική εξέταση για άτομα με αναπηρία</w:t>
            </w:r>
          </w:p>
          <w:p w14:paraId="568872C2" w14:textId="77777777" w:rsidR="000F4FD4" w:rsidRPr="00AB6161" w:rsidRDefault="000F4FD4" w:rsidP="007673F3">
            <w:pPr>
              <w:rPr>
                <w:rFonts w:asciiTheme="minorHAnsi" w:hAnsiTheme="minorHAnsi" w:cstheme="minorHAnsi"/>
                <w:lang w:val="el-GR"/>
              </w:rPr>
            </w:pPr>
          </w:p>
        </w:tc>
      </w:tr>
    </w:tbl>
    <w:p w14:paraId="6DE67040"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459C7" w14:paraId="64A767D3" w14:textId="77777777" w:rsidTr="007673F3">
        <w:tc>
          <w:tcPr>
            <w:tcW w:w="8472" w:type="dxa"/>
          </w:tcPr>
          <w:p w14:paraId="3C6D3911" w14:textId="77777777" w:rsidR="00914606" w:rsidRPr="00040D81" w:rsidRDefault="00A8723B" w:rsidP="00914606">
            <w:pPr>
              <w:jc w:val="both"/>
              <w:rPr>
                <w:rFonts w:cs="Arial"/>
                <w:i/>
                <w:sz w:val="16"/>
                <w:szCs w:val="16"/>
                <w:lang w:val="el-GR"/>
              </w:rPr>
            </w:pPr>
            <w:r w:rsidRPr="00914606">
              <w:rPr>
                <w:rFonts w:cs="Arial"/>
                <w:i/>
                <w:sz w:val="16"/>
                <w:szCs w:val="16"/>
                <w:lang w:val="el-GR"/>
              </w:rPr>
              <w:t xml:space="preserve">- </w:t>
            </w:r>
            <w:r w:rsidR="000F4FD4" w:rsidRPr="00040D81">
              <w:rPr>
                <w:rFonts w:cs="Arial"/>
                <w:i/>
                <w:sz w:val="16"/>
                <w:szCs w:val="16"/>
                <w:lang w:val="el-GR"/>
              </w:rPr>
              <w:t>Προτεινόμενη Βιβλι</w:t>
            </w:r>
            <w:r w:rsidR="001A1C52" w:rsidRPr="00040D81">
              <w:rPr>
                <w:rFonts w:cs="Arial"/>
                <w:i/>
                <w:sz w:val="16"/>
                <w:szCs w:val="16"/>
                <w:lang w:val="el-GR"/>
              </w:rPr>
              <w:t>ογραφία</w:t>
            </w:r>
            <w:r w:rsidR="000F4FD4" w:rsidRPr="00040D81">
              <w:rPr>
                <w:rFonts w:cs="Arial"/>
                <w:i/>
                <w:sz w:val="16"/>
                <w:szCs w:val="16"/>
                <w:lang w:val="el-GR"/>
              </w:rPr>
              <w:t>:</w:t>
            </w:r>
            <w:r w:rsidR="00914606" w:rsidRPr="00040D81">
              <w:rPr>
                <w:rFonts w:cs="Arial"/>
                <w:i/>
                <w:sz w:val="16"/>
                <w:szCs w:val="16"/>
                <w:lang w:val="el-GR"/>
              </w:rPr>
              <w:t xml:space="preserve">   </w:t>
            </w:r>
          </w:p>
          <w:p w14:paraId="453317B8" w14:textId="77777777" w:rsidR="00914606" w:rsidRPr="00040D81" w:rsidRDefault="003459C7" w:rsidP="003E06BF">
            <w:pPr>
              <w:spacing w:after="120"/>
              <w:jc w:val="both"/>
              <w:rPr>
                <w:rFonts w:ascii="Calibri" w:eastAsia="Calibri" w:hAnsi="Calibri" w:cs="Arial"/>
                <w:lang w:val="el-GR"/>
              </w:rPr>
            </w:pPr>
            <w:r w:rsidRPr="00040D81">
              <w:rPr>
                <w:rFonts w:ascii="Calibri" w:eastAsia="Calibri" w:hAnsi="Calibri" w:cs="Arial"/>
                <w:lang w:val="el-GR"/>
              </w:rPr>
              <w:t xml:space="preserve">Πέτρος </w:t>
            </w:r>
            <w:r w:rsidR="00914606" w:rsidRPr="00040D81">
              <w:rPr>
                <w:rFonts w:ascii="Calibri" w:eastAsia="Calibri" w:hAnsi="Calibri" w:cs="Arial"/>
                <w:lang w:val="el-GR"/>
              </w:rPr>
              <w:t xml:space="preserve">Χατζόπουλος Π. (2011). </w:t>
            </w:r>
            <w:r w:rsidR="00914606" w:rsidRPr="00040D81">
              <w:rPr>
                <w:rFonts w:ascii="Calibri" w:eastAsia="Calibri" w:hAnsi="Calibri" w:cs="Arial"/>
                <w:i/>
                <w:iCs/>
                <w:lang w:val="el-GR"/>
              </w:rPr>
              <w:t>Μαθηματικά Ασφαλίσεων Ζωής</w:t>
            </w:r>
            <w:r w:rsidR="00914606" w:rsidRPr="00040D81">
              <w:rPr>
                <w:rFonts w:ascii="Calibri" w:eastAsia="Calibri" w:hAnsi="Calibri" w:cs="Arial"/>
                <w:lang w:val="el-GR"/>
              </w:rPr>
              <w:t>, Εκδόσεις Συμμετρία.</w:t>
            </w:r>
          </w:p>
          <w:p w14:paraId="5421BFD0" w14:textId="77777777" w:rsidR="003459C7" w:rsidRPr="00040D81" w:rsidRDefault="003459C7" w:rsidP="003E06BF">
            <w:pPr>
              <w:pStyle w:val="ListParagraph"/>
              <w:spacing w:after="120" w:line="240" w:lineRule="auto"/>
              <w:ind w:left="0"/>
              <w:contextualSpacing w:val="0"/>
              <w:jc w:val="both"/>
              <w:rPr>
                <w:rFonts w:cs="Arial"/>
                <w:i/>
                <w:sz w:val="24"/>
                <w:szCs w:val="24"/>
                <w:lang w:val="en-US"/>
              </w:rPr>
            </w:pPr>
            <w:r w:rsidRPr="00040D81">
              <w:rPr>
                <w:rFonts w:cs="Arial"/>
                <w:sz w:val="24"/>
                <w:szCs w:val="24"/>
                <w:lang w:val="en-US"/>
              </w:rPr>
              <w:t xml:space="preserve">Newton L. Bowers, Hans U. Gerber, James C. Hickman, Donald A. Jones &amp; </w:t>
            </w:r>
            <w:proofErr w:type="spellStart"/>
            <w:r w:rsidRPr="00040D81">
              <w:rPr>
                <w:rFonts w:cs="Arial"/>
                <w:sz w:val="24"/>
                <w:szCs w:val="24"/>
                <w:lang w:val="en-US"/>
              </w:rPr>
              <w:t>Cesil</w:t>
            </w:r>
            <w:proofErr w:type="spellEnd"/>
            <w:r w:rsidRPr="00040D81">
              <w:rPr>
                <w:rFonts w:cs="Arial"/>
                <w:sz w:val="24"/>
                <w:szCs w:val="24"/>
                <w:lang w:val="en-US"/>
              </w:rPr>
              <w:t xml:space="preserve"> J. Nesbitt (1997)</w:t>
            </w:r>
            <w:r w:rsidRPr="00040D81">
              <w:rPr>
                <w:rFonts w:cs="Arial"/>
                <w:i/>
                <w:iCs/>
                <w:sz w:val="24"/>
                <w:szCs w:val="24"/>
                <w:lang w:val="en-US"/>
              </w:rPr>
              <w:t>. Actuarial Mathematics</w:t>
            </w:r>
            <w:r w:rsidRPr="00040D81">
              <w:rPr>
                <w:rFonts w:cs="Arial"/>
                <w:i/>
                <w:sz w:val="24"/>
                <w:szCs w:val="24"/>
                <w:lang w:val="en-US"/>
              </w:rPr>
              <w:t>, Published by “The Society of Actuaries”, Schaumburg, Illinois.</w:t>
            </w:r>
          </w:p>
          <w:p w14:paraId="2DC883D4" w14:textId="77777777" w:rsidR="003459C7" w:rsidRPr="00040D81" w:rsidRDefault="003459C7" w:rsidP="003E06BF">
            <w:pPr>
              <w:pStyle w:val="ListParagraph"/>
              <w:spacing w:after="120" w:line="240" w:lineRule="auto"/>
              <w:ind w:left="0"/>
              <w:contextualSpacing w:val="0"/>
              <w:jc w:val="both"/>
              <w:rPr>
                <w:rFonts w:cs="Arial"/>
                <w:i/>
                <w:sz w:val="24"/>
                <w:szCs w:val="24"/>
                <w:lang w:val="en-US"/>
              </w:rPr>
            </w:pPr>
            <w:r w:rsidRPr="00040D81">
              <w:rPr>
                <w:sz w:val="24"/>
                <w:szCs w:val="24"/>
                <w:lang w:val="en-US"/>
              </w:rPr>
              <w:t xml:space="preserve">David C. M. Dickson, Mary R. Hardy &amp; Howard R. Waters (2013). </w:t>
            </w:r>
            <w:r w:rsidRPr="00040D81">
              <w:rPr>
                <w:rFonts w:cs="Arial"/>
                <w:i/>
                <w:sz w:val="24"/>
                <w:szCs w:val="24"/>
                <w:lang w:val="en-US"/>
              </w:rPr>
              <w:t>Actuarial Mathematics for Life Contingent Risks, Cambridge University Press.</w:t>
            </w:r>
          </w:p>
          <w:p w14:paraId="007619C3" w14:textId="77777777" w:rsidR="000F4FD4" w:rsidRPr="00040D81" w:rsidRDefault="00A8723B" w:rsidP="007673F3">
            <w:pPr>
              <w:jc w:val="both"/>
              <w:rPr>
                <w:rFonts w:ascii="Calibri" w:hAnsi="Calibri" w:cs="Arial"/>
                <w:i/>
                <w:sz w:val="16"/>
                <w:szCs w:val="16"/>
              </w:rPr>
            </w:pPr>
            <w:r w:rsidRPr="00040D81">
              <w:rPr>
                <w:rFonts w:ascii="Calibri" w:hAnsi="Calibri" w:cs="Arial"/>
                <w:i/>
                <w:sz w:val="16"/>
                <w:szCs w:val="16"/>
              </w:rPr>
              <w:t xml:space="preserve">- </w:t>
            </w:r>
            <w:r w:rsidR="000F4FD4" w:rsidRPr="00040D81">
              <w:rPr>
                <w:rFonts w:ascii="Calibri" w:hAnsi="Calibri" w:cs="Arial"/>
                <w:i/>
                <w:sz w:val="16"/>
                <w:szCs w:val="16"/>
                <w:lang w:val="el-GR"/>
              </w:rPr>
              <w:t>Συναφή</w:t>
            </w:r>
            <w:r w:rsidR="000F4FD4" w:rsidRPr="00040D81">
              <w:rPr>
                <w:rFonts w:ascii="Calibri" w:hAnsi="Calibri" w:cs="Arial"/>
                <w:i/>
                <w:sz w:val="16"/>
                <w:szCs w:val="16"/>
              </w:rPr>
              <w:t xml:space="preserve"> </w:t>
            </w:r>
            <w:r w:rsidR="000F4FD4" w:rsidRPr="00040D81">
              <w:rPr>
                <w:rFonts w:ascii="Calibri" w:hAnsi="Calibri" w:cs="Arial"/>
                <w:i/>
                <w:sz w:val="16"/>
                <w:szCs w:val="16"/>
                <w:lang w:val="el-GR"/>
              </w:rPr>
              <w:t>επιστημονικά</w:t>
            </w:r>
            <w:r w:rsidR="000F4FD4" w:rsidRPr="00040D81">
              <w:rPr>
                <w:rFonts w:ascii="Calibri" w:hAnsi="Calibri" w:cs="Arial"/>
                <w:i/>
                <w:sz w:val="16"/>
                <w:szCs w:val="16"/>
              </w:rPr>
              <w:t xml:space="preserve"> </w:t>
            </w:r>
            <w:r w:rsidR="000F4FD4" w:rsidRPr="00040D81">
              <w:rPr>
                <w:rFonts w:ascii="Calibri" w:hAnsi="Calibri" w:cs="Arial"/>
                <w:i/>
                <w:sz w:val="16"/>
                <w:szCs w:val="16"/>
                <w:lang w:val="el-GR"/>
              </w:rPr>
              <w:t>περιοδικά</w:t>
            </w:r>
            <w:r w:rsidR="000F4FD4" w:rsidRPr="00040D81">
              <w:rPr>
                <w:rFonts w:ascii="Calibri" w:hAnsi="Calibri" w:cs="Arial"/>
                <w:i/>
                <w:sz w:val="16"/>
                <w:szCs w:val="16"/>
              </w:rPr>
              <w:t>:</w:t>
            </w:r>
          </w:p>
          <w:p w14:paraId="4DC6F4BA" w14:textId="77777777" w:rsidR="000F4FD4" w:rsidRPr="003459C7" w:rsidRDefault="000F4FD4" w:rsidP="00914606">
            <w:pPr>
              <w:jc w:val="both"/>
              <w:rPr>
                <w:rFonts w:ascii="Calibri" w:hAnsi="Calibri" w:cs="Arial"/>
                <w:b/>
              </w:rPr>
            </w:pPr>
          </w:p>
        </w:tc>
      </w:tr>
      <w:bookmarkEnd w:id="0"/>
    </w:tbl>
    <w:p w14:paraId="0546F04F" w14:textId="77777777" w:rsidR="000F4FD4" w:rsidRPr="003459C7" w:rsidRDefault="000F4FD4" w:rsidP="00EE528C">
      <w:pPr>
        <w:rPr>
          <w:rFonts w:ascii="Cambria" w:hAnsi="Cambria"/>
          <w:b/>
          <w:bCs/>
          <w:sz w:val="28"/>
        </w:rPr>
      </w:pPr>
    </w:p>
    <w:sectPr w:rsidR="000F4FD4" w:rsidRPr="003459C7"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DB14" w14:textId="77777777" w:rsidR="00D66327" w:rsidRDefault="00D66327">
      <w:r>
        <w:separator/>
      </w:r>
    </w:p>
  </w:endnote>
  <w:endnote w:type="continuationSeparator" w:id="0">
    <w:p w14:paraId="27958E9C" w14:textId="77777777" w:rsidR="00D66327" w:rsidRDefault="00D6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32FA" w14:textId="77777777" w:rsidR="00D66327" w:rsidRDefault="00D66327">
      <w:r>
        <w:separator/>
      </w:r>
    </w:p>
  </w:footnote>
  <w:footnote w:type="continuationSeparator" w:id="0">
    <w:p w14:paraId="4F71D44B" w14:textId="77777777" w:rsidR="00D66327" w:rsidRDefault="00D6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7D3B"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02D61"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8pt;height:9.8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81494"/>
    <w:multiLevelType w:val="hybridMultilevel"/>
    <w:tmpl w:val="2EEC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5562A23"/>
    <w:multiLevelType w:val="hybridMultilevel"/>
    <w:tmpl w:val="DAF44556"/>
    <w:lvl w:ilvl="0" w:tplc="A2AE6194">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1B43BDD"/>
    <w:multiLevelType w:val="multilevel"/>
    <w:tmpl w:val="A11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23D61B3"/>
    <w:multiLevelType w:val="hybridMultilevel"/>
    <w:tmpl w:val="AB82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F5FD4"/>
    <w:multiLevelType w:val="hybridMultilevel"/>
    <w:tmpl w:val="0A6C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137675660">
    <w:abstractNumId w:val="26"/>
  </w:num>
  <w:num w:numId="2" w16cid:durableId="611209208">
    <w:abstractNumId w:val="11"/>
  </w:num>
  <w:num w:numId="3" w16cid:durableId="862010360">
    <w:abstractNumId w:val="6"/>
  </w:num>
  <w:num w:numId="4" w16cid:durableId="322130355">
    <w:abstractNumId w:val="3"/>
  </w:num>
  <w:num w:numId="5" w16cid:durableId="174224026">
    <w:abstractNumId w:val="5"/>
  </w:num>
  <w:num w:numId="6" w16cid:durableId="857354037">
    <w:abstractNumId w:val="45"/>
  </w:num>
  <w:num w:numId="7" w16cid:durableId="1999263139">
    <w:abstractNumId w:val="18"/>
  </w:num>
  <w:num w:numId="8" w16cid:durableId="869686532">
    <w:abstractNumId w:val="9"/>
  </w:num>
  <w:num w:numId="9" w16cid:durableId="383870528">
    <w:abstractNumId w:val="36"/>
  </w:num>
  <w:num w:numId="10" w16cid:durableId="1431389297">
    <w:abstractNumId w:val="46"/>
  </w:num>
  <w:num w:numId="11" w16cid:durableId="2116702771">
    <w:abstractNumId w:val="19"/>
  </w:num>
  <w:num w:numId="12" w16cid:durableId="785390750">
    <w:abstractNumId w:val="23"/>
  </w:num>
  <w:num w:numId="13" w16cid:durableId="3820817">
    <w:abstractNumId w:val="9"/>
  </w:num>
  <w:num w:numId="14" w16cid:durableId="1206059562">
    <w:abstractNumId w:val="15"/>
  </w:num>
  <w:num w:numId="15" w16cid:durableId="1914656500">
    <w:abstractNumId w:val="39"/>
  </w:num>
  <w:num w:numId="16" w16cid:durableId="359356591">
    <w:abstractNumId w:val="36"/>
  </w:num>
  <w:num w:numId="17" w16cid:durableId="903026824">
    <w:abstractNumId w:val="13"/>
  </w:num>
  <w:num w:numId="18" w16cid:durableId="865681262">
    <w:abstractNumId w:val="24"/>
  </w:num>
  <w:num w:numId="19" w16cid:durableId="857046312">
    <w:abstractNumId w:val="0"/>
  </w:num>
  <w:num w:numId="20" w16cid:durableId="686909222">
    <w:abstractNumId w:val="16"/>
  </w:num>
  <w:num w:numId="21" w16cid:durableId="86734953">
    <w:abstractNumId w:val="7"/>
  </w:num>
  <w:num w:numId="22" w16cid:durableId="1015108226">
    <w:abstractNumId w:val="31"/>
  </w:num>
  <w:num w:numId="23" w16cid:durableId="2040429176">
    <w:abstractNumId w:val="12"/>
  </w:num>
  <w:num w:numId="24" w16cid:durableId="2063866637">
    <w:abstractNumId w:val="20"/>
  </w:num>
  <w:num w:numId="25" w16cid:durableId="524681549">
    <w:abstractNumId w:val="2"/>
  </w:num>
  <w:num w:numId="26" w16cid:durableId="251820959">
    <w:abstractNumId w:val="47"/>
  </w:num>
  <w:num w:numId="27" w16cid:durableId="160508512">
    <w:abstractNumId w:val="35"/>
  </w:num>
  <w:num w:numId="28" w16cid:durableId="160776632">
    <w:abstractNumId w:val="8"/>
  </w:num>
  <w:num w:numId="29" w16cid:durableId="1644264222">
    <w:abstractNumId w:val="25"/>
  </w:num>
  <w:num w:numId="30" w16cid:durableId="357706578">
    <w:abstractNumId w:val="41"/>
  </w:num>
  <w:num w:numId="31" w16cid:durableId="781650167">
    <w:abstractNumId w:val="10"/>
  </w:num>
  <w:num w:numId="32" w16cid:durableId="1219634061">
    <w:abstractNumId w:val="29"/>
  </w:num>
  <w:num w:numId="33" w16cid:durableId="874387040">
    <w:abstractNumId w:val="22"/>
  </w:num>
  <w:num w:numId="34" w16cid:durableId="115103688">
    <w:abstractNumId w:val="40"/>
  </w:num>
  <w:num w:numId="35" w16cid:durableId="44395915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7175626">
    <w:abstractNumId w:val="34"/>
  </w:num>
  <w:num w:numId="37" w16cid:durableId="671682084">
    <w:abstractNumId w:val="21"/>
  </w:num>
  <w:num w:numId="38" w16cid:durableId="282423526">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5562336">
    <w:abstractNumId w:val="37"/>
  </w:num>
  <w:num w:numId="40" w16cid:durableId="40831332">
    <w:abstractNumId w:val="33"/>
  </w:num>
  <w:num w:numId="41" w16cid:durableId="608243352">
    <w:abstractNumId w:val="17"/>
  </w:num>
  <w:num w:numId="42" w16cid:durableId="351689920">
    <w:abstractNumId w:val="27"/>
  </w:num>
  <w:num w:numId="43" w16cid:durableId="589628306">
    <w:abstractNumId w:val="30"/>
  </w:num>
  <w:num w:numId="44" w16cid:durableId="847141612">
    <w:abstractNumId w:val="38"/>
  </w:num>
  <w:num w:numId="45" w16cid:durableId="1451164082">
    <w:abstractNumId w:val="4"/>
  </w:num>
  <w:num w:numId="46" w16cid:durableId="1810047665">
    <w:abstractNumId w:val="32"/>
  </w:num>
  <w:num w:numId="47" w16cid:durableId="867445525">
    <w:abstractNumId w:val="1"/>
  </w:num>
  <w:num w:numId="48" w16cid:durableId="1999840737">
    <w:abstractNumId w:val="28"/>
  </w:num>
  <w:num w:numId="49" w16cid:durableId="1608926019">
    <w:abstractNumId w:val="43"/>
  </w:num>
  <w:num w:numId="50" w16cid:durableId="773744053">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0F52"/>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D81"/>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4E97"/>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5E2"/>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59B6"/>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9C7"/>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06BF"/>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1EB"/>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1591"/>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5336"/>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348"/>
    <w:rsid w:val="00661509"/>
    <w:rsid w:val="00661933"/>
    <w:rsid w:val="00662BBC"/>
    <w:rsid w:val="00663846"/>
    <w:rsid w:val="00665585"/>
    <w:rsid w:val="00667CAA"/>
    <w:rsid w:val="00667ED7"/>
    <w:rsid w:val="006702EA"/>
    <w:rsid w:val="006712F3"/>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7D1"/>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87FCB"/>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1FF"/>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0439"/>
    <w:rsid w:val="008E17FD"/>
    <w:rsid w:val="008E253C"/>
    <w:rsid w:val="008E32A3"/>
    <w:rsid w:val="008E5746"/>
    <w:rsid w:val="008E6AB4"/>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4606"/>
    <w:rsid w:val="00915407"/>
    <w:rsid w:val="00920F5E"/>
    <w:rsid w:val="0092212A"/>
    <w:rsid w:val="0092252B"/>
    <w:rsid w:val="00922677"/>
    <w:rsid w:val="0092621A"/>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91A"/>
    <w:rsid w:val="009F6FEA"/>
    <w:rsid w:val="00A00EB0"/>
    <w:rsid w:val="00A02135"/>
    <w:rsid w:val="00A03499"/>
    <w:rsid w:val="00A03B9C"/>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3832"/>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6161"/>
    <w:rsid w:val="00AB7A54"/>
    <w:rsid w:val="00AC0EE4"/>
    <w:rsid w:val="00AC104D"/>
    <w:rsid w:val="00AC1B1B"/>
    <w:rsid w:val="00AC3358"/>
    <w:rsid w:val="00AC3ABD"/>
    <w:rsid w:val="00AC496C"/>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786D"/>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7C50"/>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6327"/>
    <w:rsid w:val="00D67528"/>
    <w:rsid w:val="00D6763F"/>
    <w:rsid w:val="00D67FE9"/>
    <w:rsid w:val="00D768ED"/>
    <w:rsid w:val="00D76EE7"/>
    <w:rsid w:val="00D7719E"/>
    <w:rsid w:val="00D7727E"/>
    <w:rsid w:val="00D77D26"/>
    <w:rsid w:val="00D812A3"/>
    <w:rsid w:val="00D819FF"/>
    <w:rsid w:val="00D85206"/>
    <w:rsid w:val="00D862D5"/>
    <w:rsid w:val="00D87663"/>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508"/>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88E"/>
    <w:rsid w:val="00E27D1E"/>
    <w:rsid w:val="00E327E0"/>
    <w:rsid w:val="00E328E2"/>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D50"/>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1BFE"/>
    <w:rsid w:val="00ED2411"/>
    <w:rsid w:val="00ED7287"/>
    <w:rsid w:val="00EE1313"/>
    <w:rsid w:val="00EE4A0A"/>
    <w:rsid w:val="00EE528C"/>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571"/>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272F0"/>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1085</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Antzoulakos Demetrios</dc:creator>
  <cp:lastModifiedBy>DEMETRIOS ANTZOULAKOS</cp:lastModifiedBy>
  <cp:revision>5</cp:revision>
  <cp:lastPrinted>2014-04-24T14:33:00Z</cp:lastPrinted>
  <dcterms:created xsi:type="dcterms:W3CDTF">2023-03-22T01:21:00Z</dcterms:created>
  <dcterms:modified xsi:type="dcterms:W3CDTF">2023-03-23T08:27:00Z</dcterms:modified>
</cp:coreProperties>
</file>